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D3A" w:rsidRPr="00DC28F2" w:rsidRDefault="00DF4D3A" w:rsidP="003D52EF">
      <w:pPr>
        <w:pStyle w:val="Heading1"/>
        <w:ind w:left="0" w:firstLine="0"/>
        <w:rPr>
          <w:rFonts w:ascii="Arial" w:hAnsi="Arial" w:cs="Arial"/>
          <w:bCs w:val="0"/>
          <w:color w:val="1074CB"/>
          <w:sz w:val="44"/>
          <w:szCs w:val="44"/>
        </w:rPr>
      </w:pPr>
      <w:r w:rsidRPr="00DC28F2">
        <w:rPr>
          <w:rFonts w:ascii="Arial" w:hAnsi="Arial" w:cs="Arial"/>
          <w:bCs w:val="0"/>
          <w:color w:val="1074CB"/>
          <w:sz w:val="44"/>
          <w:szCs w:val="44"/>
        </w:rPr>
        <w:t xml:space="preserve">SMMT NEW CAR REGISTRATIONS </w:t>
      </w:r>
    </w:p>
    <w:p w:rsidR="00DF4D3A" w:rsidRDefault="00C90248" w:rsidP="00DF4D3A">
      <w:pPr>
        <w:spacing w:line="276" w:lineRule="auto"/>
        <w:rPr>
          <w:rFonts w:ascii="Arial" w:hAnsi="Arial" w:cs="Arial"/>
          <w:b/>
          <w:bCs/>
          <w:color w:val="1074CB"/>
          <w:sz w:val="28"/>
          <w:szCs w:val="28"/>
        </w:rPr>
      </w:pPr>
      <w:r>
        <w:rPr>
          <w:rFonts w:ascii="Arial" w:hAnsi="Arial" w:cs="Arial"/>
          <w:b/>
          <w:color w:val="1074CB"/>
          <w:sz w:val="44"/>
          <w:szCs w:val="44"/>
        </w:rPr>
        <w:t>6</w:t>
      </w:r>
      <w:r w:rsidR="00250329">
        <w:rPr>
          <w:rFonts w:ascii="Arial" w:hAnsi="Arial" w:cs="Arial"/>
          <w:b/>
          <w:color w:val="1074CB"/>
          <w:sz w:val="44"/>
          <w:szCs w:val="44"/>
        </w:rPr>
        <w:t xml:space="preserve"> Dec</w:t>
      </w:r>
      <w:r w:rsidR="00DD7EF9">
        <w:rPr>
          <w:rFonts w:ascii="Arial" w:hAnsi="Arial" w:cs="Arial"/>
          <w:b/>
          <w:color w:val="1074CB"/>
          <w:sz w:val="44"/>
          <w:szCs w:val="44"/>
        </w:rPr>
        <w:t xml:space="preserve">ember </w:t>
      </w:r>
      <w:r w:rsidR="00DF4D3A">
        <w:rPr>
          <w:rFonts w:ascii="Arial" w:hAnsi="Arial" w:cs="Arial"/>
          <w:b/>
          <w:color w:val="1074CB"/>
          <w:sz w:val="44"/>
          <w:szCs w:val="44"/>
        </w:rPr>
        <w:t xml:space="preserve">2011 </w:t>
      </w:r>
      <w:r w:rsidR="00DF4D3A" w:rsidRPr="00D265E8">
        <w:rPr>
          <w:rFonts w:ascii="Arial" w:hAnsi="Arial" w:cs="Arial"/>
          <w:color w:val="1074CB"/>
          <w:sz w:val="32"/>
          <w:szCs w:val="32"/>
        </w:rPr>
        <w:t xml:space="preserve">(data for </w:t>
      </w:r>
      <w:r w:rsidR="00250329">
        <w:rPr>
          <w:rFonts w:ascii="Arial" w:hAnsi="Arial" w:cs="Arial"/>
          <w:color w:val="1074CB"/>
          <w:sz w:val="32"/>
          <w:szCs w:val="32"/>
        </w:rPr>
        <w:t>Novembe</w:t>
      </w:r>
      <w:r w:rsidR="00DD7EF9">
        <w:rPr>
          <w:rFonts w:ascii="Arial" w:hAnsi="Arial" w:cs="Arial"/>
          <w:color w:val="1074CB"/>
          <w:sz w:val="32"/>
          <w:szCs w:val="32"/>
        </w:rPr>
        <w:t>r</w:t>
      </w:r>
      <w:r w:rsidR="00DF4D3A" w:rsidRPr="00D265E8">
        <w:rPr>
          <w:rFonts w:ascii="Arial" w:hAnsi="Arial" w:cs="Arial"/>
          <w:color w:val="1074CB"/>
          <w:sz w:val="32"/>
          <w:szCs w:val="32"/>
        </w:rPr>
        <w:t xml:space="preserve"> 2011</w:t>
      </w:r>
      <w:r w:rsidR="00DF4D3A">
        <w:rPr>
          <w:rFonts w:ascii="Arial" w:hAnsi="Arial" w:cs="Arial"/>
          <w:color w:val="1074CB"/>
          <w:sz w:val="32"/>
          <w:szCs w:val="32"/>
        </w:rPr>
        <w:t>)</w:t>
      </w:r>
    </w:p>
    <w:p w:rsidR="00DF4D3A" w:rsidRPr="00DF4D3A" w:rsidRDefault="00DF4D3A">
      <w:pPr>
        <w:pStyle w:val="Heading1"/>
        <w:ind w:left="0" w:firstLine="0"/>
        <w:rPr>
          <w:rFonts w:ascii="Arial" w:hAnsi="Arial" w:cs="Arial"/>
          <w:b w:val="0"/>
          <w:bCs w:val="0"/>
          <w:color w:val="1074CB"/>
        </w:rPr>
      </w:pPr>
    </w:p>
    <w:p w:rsidR="00DF4D3A" w:rsidRPr="00DF4D3A" w:rsidRDefault="00D26325" w:rsidP="00DF4D3A">
      <w:pPr>
        <w:rPr>
          <w:rFonts w:ascii="Arial" w:hAnsi="Arial" w:cs="Arial"/>
          <w:color w:val="1074CB"/>
          <w:sz w:val="18"/>
          <w:szCs w:val="18"/>
        </w:rPr>
      </w:pPr>
      <w:r>
        <w:rPr>
          <w:rFonts w:ascii="Arial" w:hAnsi="Arial" w:cs="Arial"/>
          <w:color w:val="1074CB"/>
          <w:sz w:val="18"/>
          <w:szCs w:val="18"/>
        </w:rPr>
        <w:t xml:space="preserve">NEWS RELEASE NUMBER:  </w:t>
      </w:r>
      <w:r w:rsidR="004F5C07">
        <w:rPr>
          <w:rFonts w:ascii="Arial" w:hAnsi="Arial" w:cs="Arial"/>
          <w:color w:val="1074CB"/>
          <w:sz w:val="18"/>
          <w:szCs w:val="18"/>
        </w:rPr>
        <w:t>4963</w:t>
      </w:r>
      <w:r w:rsidR="00DF4D3A" w:rsidRPr="00DF4D3A">
        <w:rPr>
          <w:rFonts w:ascii="Arial" w:hAnsi="Arial" w:cs="Arial"/>
          <w:color w:val="1074CB"/>
          <w:sz w:val="18"/>
          <w:szCs w:val="18"/>
        </w:rPr>
        <w:tab/>
      </w:r>
      <w:r w:rsidR="00DF4D3A" w:rsidRPr="00DF4D3A">
        <w:rPr>
          <w:rFonts w:ascii="Arial" w:hAnsi="Arial" w:cs="Arial"/>
          <w:color w:val="1074CB"/>
          <w:sz w:val="18"/>
          <w:szCs w:val="18"/>
        </w:rPr>
        <w:tab/>
      </w:r>
      <w:r w:rsidR="00DF4D3A" w:rsidRPr="00DF4D3A">
        <w:rPr>
          <w:rFonts w:ascii="Arial" w:hAnsi="Arial" w:cs="Arial"/>
          <w:color w:val="1074CB"/>
          <w:sz w:val="18"/>
          <w:szCs w:val="18"/>
        </w:rPr>
        <w:tab/>
      </w:r>
      <w:r w:rsidR="00DF4D3A">
        <w:rPr>
          <w:rFonts w:ascii="Arial" w:hAnsi="Arial" w:cs="Arial"/>
          <w:color w:val="1074CB"/>
          <w:sz w:val="18"/>
          <w:szCs w:val="18"/>
        </w:rPr>
        <w:tab/>
      </w:r>
      <w:r w:rsidR="00DF4D3A">
        <w:rPr>
          <w:rFonts w:ascii="Arial" w:hAnsi="Arial" w:cs="Arial"/>
          <w:color w:val="1074CB"/>
          <w:sz w:val="18"/>
          <w:szCs w:val="18"/>
        </w:rPr>
        <w:tab/>
      </w:r>
      <w:r w:rsidR="00D14447">
        <w:rPr>
          <w:rFonts w:ascii="Arial" w:hAnsi="Arial" w:cs="Arial"/>
          <w:color w:val="1074CB"/>
          <w:sz w:val="18"/>
          <w:szCs w:val="18"/>
        </w:rPr>
        <w:tab/>
        <w:t xml:space="preserve">           </w:t>
      </w:r>
      <w:r w:rsidR="00997B1E">
        <w:rPr>
          <w:rFonts w:ascii="Arial" w:hAnsi="Arial" w:cs="Arial"/>
          <w:color w:val="1074CB"/>
          <w:sz w:val="18"/>
          <w:szCs w:val="18"/>
        </w:rPr>
        <w:tab/>
        <w:t xml:space="preserve">        </w:t>
      </w:r>
      <w:r w:rsidR="00DF4D3A" w:rsidRPr="00DF4D3A">
        <w:rPr>
          <w:rFonts w:ascii="Arial" w:hAnsi="Arial" w:cs="Arial"/>
          <w:color w:val="1074CB"/>
          <w:sz w:val="18"/>
          <w:szCs w:val="18"/>
        </w:rPr>
        <w:t>FOR RELEASE:  IMMEDIATE</w:t>
      </w:r>
    </w:p>
    <w:p w:rsidR="002678E2" w:rsidRPr="00DC28F2" w:rsidRDefault="00794096">
      <w:pPr>
        <w:pStyle w:val="Heading1"/>
        <w:ind w:left="0" w:firstLine="0"/>
        <w:rPr>
          <w:rFonts w:ascii="Arial" w:hAnsi="Arial" w:cs="Arial"/>
          <w:b w:val="0"/>
          <w:bCs w:val="0"/>
          <w:color w:val="1074CB"/>
          <w:sz w:val="22"/>
          <w:szCs w:val="22"/>
        </w:rPr>
      </w:pPr>
      <w:r w:rsidRPr="00794096">
        <w:rPr>
          <w:rFonts w:ascii="Arial" w:hAnsi="Arial" w:cs="Arial"/>
          <w:noProof/>
          <w:lang w:val="en-US" w:eastAsia="en-US"/>
        </w:rPr>
        <w:pict>
          <v:line id="_x0000_s1026" style="position:absolute;z-index:251658240" from="-3.5pt,1.8pt" to="499.8pt,1.8pt" strokecolor="#1074cb"/>
        </w:pict>
      </w:r>
    </w:p>
    <w:p w:rsidR="009C1CC2" w:rsidRDefault="00F66B41" w:rsidP="00371C01">
      <w:pPr>
        <w:rPr>
          <w:rFonts w:ascii="Arial" w:hAnsi="Arial" w:cs="Arial"/>
          <w:b/>
          <w:bCs/>
          <w:color w:val="1074CB"/>
          <w:sz w:val="28"/>
          <w:szCs w:val="28"/>
        </w:rPr>
      </w:pPr>
      <w:r>
        <w:rPr>
          <w:rFonts w:ascii="Arial" w:hAnsi="Arial" w:cs="Arial"/>
          <w:b/>
          <w:bCs/>
          <w:color w:val="1074CB"/>
          <w:sz w:val="28"/>
          <w:szCs w:val="28"/>
        </w:rPr>
        <w:t xml:space="preserve">November </w:t>
      </w:r>
      <w:r w:rsidR="00BE4699" w:rsidRPr="00997B1E">
        <w:rPr>
          <w:rFonts w:ascii="Arial" w:hAnsi="Arial" w:cs="Arial"/>
          <w:b/>
          <w:bCs/>
          <w:color w:val="1074CB"/>
          <w:sz w:val="28"/>
          <w:szCs w:val="28"/>
        </w:rPr>
        <w:t xml:space="preserve">new car </w:t>
      </w:r>
      <w:r w:rsidR="00FF4236">
        <w:rPr>
          <w:rFonts w:ascii="Arial" w:hAnsi="Arial" w:cs="Arial"/>
          <w:b/>
          <w:bCs/>
          <w:color w:val="1074CB"/>
          <w:sz w:val="28"/>
          <w:szCs w:val="28"/>
        </w:rPr>
        <w:t>market down but fuel efficiency is better than ever</w:t>
      </w:r>
    </w:p>
    <w:p w:rsidR="00FF4236" w:rsidRPr="00BB6EE4" w:rsidRDefault="00FF4236" w:rsidP="00371C01">
      <w:pPr>
        <w:rPr>
          <w:rFonts w:ascii="Arial" w:hAnsi="Arial" w:cs="Arial"/>
          <w:b/>
          <w:bCs/>
          <w:color w:val="1074CB"/>
          <w:sz w:val="20"/>
          <w:szCs w:val="20"/>
        </w:rPr>
      </w:pPr>
    </w:p>
    <w:p w:rsidR="00DD7EF9" w:rsidRDefault="00DD7EF9" w:rsidP="00D97951">
      <w:pPr>
        <w:numPr>
          <w:ilvl w:val="0"/>
          <w:numId w:val="2"/>
        </w:numPr>
        <w:spacing w:line="360" w:lineRule="auto"/>
        <w:ind w:left="357" w:hanging="357"/>
        <w:rPr>
          <w:rFonts w:ascii="Arial" w:hAnsi="Arial" w:cs="Arial"/>
          <w:sz w:val="20"/>
          <w:szCs w:val="20"/>
        </w:rPr>
      </w:pPr>
      <w:r w:rsidRPr="00D97951">
        <w:rPr>
          <w:rFonts w:ascii="Arial" w:hAnsi="Arial" w:cs="Arial"/>
          <w:sz w:val="20"/>
          <w:szCs w:val="20"/>
        </w:rPr>
        <w:t xml:space="preserve">New car </w:t>
      </w:r>
      <w:r w:rsidR="00324817">
        <w:rPr>
          <w:rFonts w:ascii="Arial" w:hAnsi="Arial" w:cs="Arial"/>
          <w:sz w:val="20"/>
          <w:szCs w:val="20"/>
        </w:rPr>
        <w:t>demand fell by 4.</w:t>
      </w:r>
      <w:r w:rsidR="00FC71A9">
        <w:rPr>
          <w:rFonts w:ascii="Arial" w:hAnsi="Arial" w:cs="Arial"/>
          <w:sz w:val="20"/>
          <w:szCs w:val="20"/>
        </w:rPr>
        <w:t>2</w:t>
      </w:r>
      <w:r w:rsidRPr="00D97951">
        <w:rPr>
          <w:rFonts w:ascii="Arial" w:hAnsi="Arial" w:cs="Arial"/>
          <w:sz w:val="20"/>
          <w:szCs w:val="20"/>
        </w:rPr>
        <w:t xml:space="preserve">% in </w:t>
      </w:r>
      <w:r w:rsidR="00324817">
        <w:rPr>
          <w:rFonts w:ascii="Arial" w:hAnsi="Arial" w:cs="Arial"/>
          <w:sz w:val="20"/>
          <w:szCs w:val="20"/>
        </w:rPr>
        <w:t xml:space="preserve">November </w:t>
      </w:r>
      <w:r w:rsidRPr="00D97951">
        <w:rPr>
          <w:rFonts w:ascii="Arial" w:hAnsi="Arial" w:cs="Arial"/>
          <w:sz w:val="20"/>
          <w:szCs w:val="20"/>
        </w:rPr>
        <w:t>to 13</w:t>
      </w:r>
      <w:r w:rsidR="00FC71A9">
        <w:rPr>
          <w:rFonts w:ascii="Arial" w:hAnsi="Arial" w:cs="Arial"/>
          <w:sz w:val="20"/>
          <w:szCs w:val="20"/>
        </w:rPr>
        <w:t>4,027</w:t>
      </w:r>
      <w:r w:rsidRPr="00D97951">
        <w:rPr>
          <w:rFonts w:ascii="Arial" w:hAnsi="Arial" w:cs="Arial"/>
          <w:sz w:val="20"/>
          <w:szCs w:val="20"/>
        </w:rPr>
        <w:t xml:space="preserve"> units</w:t>
      </w:r>
      <w:r w:rsidR="00D97951" w:rsidRPr="00D97951">
        <w:rPr>
          <w:rFonts w:ascii="Arial" w:hAnsi="Arial" w:cs="Arial"/>
          <w:sz w:val="20"/>
          <w:szCs w:val="20"/>
        </w:rPr>
        <w:t xml:space="preserve">, </w:t>
      </w:r>
      <w:r w:rsidR="00324817">
        <w:rPr>
          <w:rFonts w:ascii="Arial" w:hAnsi="Arial" w:cs="Arial"/>
          <w:sz w:val="20"/>
          <w:szCs w:val="20"/>
        </w:rPr>
        <w:t xml:space="preserve">but </w:t>
      </w:r>
      <w:r w:rsidR="005B052D">
        <w:rPr>
          <w:rFonts w:ascii="Arial" w:hAnsi="Arial" w:cs="Arial"/>
          <w:sz w:val="20"/>
          <w:szCs w:val="20"/>
        </w:rPr>
        <w:t xml:space="preserve">was </w:t>
      </w:r>
      <w:r w:rsidR="008C2BCE">
        <w:rPr>
          <w:rFonts w:ascii="Arial" w:hAnsi="Arial" w:cs="Arial"/>
          <w:sz w:val="20"/>
          <w:szCs w:val="20"/>
        </w:rPr>
        <w:t xml:space="preserve">some </w:t>
      </w:r>
      <w:r w:rsidR="00324817">
        <w:rPr>
          <w:rFonts w:ascii="Arial" w:hAnsi="Arial" w:cs="Arial"/>
          <w:sz w:val="20"/>
          <w:szCs w:val="20"/>
        </w:rPr>
        <w:t>5,000 units above forecast</w:t>
      </w:r>
      <w:r w:rsidRPr="00D97951">
        <w:rPr>
          <w:rFonts w:ascii="Arial" w:hAnsi="Arial" w:cs="Arial"/>
          <w:sz w:val="20"/>
          <w:szCs w:val="20"/>
        </w:rPr>
        <w:t>.</w:t>
      </w:r>
    </w:p>
    <w:p w:rsidR="00324817" w:rsidRDefault="00324817" w:rsidP="00D97951">
      <w:pPr>
        <w:numPr>
          <w:ilvl w:val="0"/>
          <w:numId w:val="2"/>
        </w:numPr>
        <w:spacing w:line="360" w:lineRule="auto"/>
        <w:ind w:left="357" w:hanging="357"/>
        <w:rPr>
          <w:rFonts w:ascii="Arial" w:hAnsi="Arial" w:cs="Arial"/>
          <w:sz w:val="20"/>
          <w:szCs w:val="20"/>
        </w:rPr>
      </w:pPr>
      <w:r>
        <w:rPr>
          <w:rFonts w:ascii="Arial" w:hAnsi="Arial" w:cs="Arial"/>
          <w:sz w:val="20"/>
          <w:szCs w:val="20"/>
        </w:rPr>
        <w:t xml:space="preserve">Diesel and alternatively fuelled cars both took record market shares in </w:t>
      </w:r>
      <w:r w:rsidR="005B052D">
        <w:rPr>
          <w:rFonts w:ascii="Arial" w:hAnsi="Arial" w:cs="Arial"/>
          <w:sz w:val="20"/>
          <w:szCs w:val="20"/>
        </w:rPr>
        <w:t xml:space="preserve">the </w:t>
      </w:r>
      <w:r>
        <w:rPr>
          <w:rFonts w:ascii="Arial" w:hAnsi="Arial" w:cs="Arial"/>
          <w:sz w:val="20"/>
          <w:szCs w:val="20"/>
        </w:rPr>
        <w:t xml:space="preserve">November market. </w:t>
      </w:r>
    </w:p>
    <w:p w:rsidR="0056678E" w:rsidRPr="00D97951" w:rsidRDefault="0056678E" w:rsidP="00D97951">
      <w:pPr>
        <w:numPr>
          <w:ilvl w:val="0"/>
          <w:numId w:val="2"/>
        </w:numPr>
        <w:spacing w:line="360" w:lineRule="auto"/>
        <w:ind w:left="357" w:hanging="357"/>
        <w:rPr>
          <w:rFonts w:ascii="Arial" w:hAnsi="Arial" w:cs="Arial"/>
          <w:sz w:val="20"/>
          <w:szCs w:val="20"/>
        </w:rPr>
      </w:pPr>
      <w:r>
        <w:rPr>
          <w:rFonts w:ascii="Arial" w:hAnsi="Arial" w:cs="Arial"/>
          <w:sz w:val="20"/>
          <w:szCs w:val="20"/>
        </w:rPr>
        <w:t xml:space="preserve">Average </w:t>
      </w:r>
      <w:r w:rsidR="008B4045">
        <w:rPr>
          <w:rFonts w:ascii="Arial" w:hAnsi="Arial" w:cs="Arial"/>
          <w:sz w:val="20"/>
          <w:szCs w:val="20"/>
        </w:rPr>
        <w:t>new car fuel efficiency improved</w:t>
      </w:r>
      <w:r>
        <w:rPr>
          <w:rFonts w:ascii="Arial" w:hAnsi="Arial" w:cs="Arial"/>
          <w:sz w:val="20"/>
          <w:szCs w:val="20"/>
        </w:rPr>
        <w:t xml:space="preserve"> </w:t>
      </w:r>
      <w:r w:rsidR="000B04EC">
        <w:rPr>
          <w:rFonts w:ascii="Arial" w:hAnsi="Arial" w:cs="Arial"/>
          <w:sz w:val="20"/>
          <w:szCs w:val="20"/>
        </w:rPr>
        <w:t>29.3%</w:t>
      </w:r>
      <w:r w:rsidR="008B4045">
        <w:rPr>
          <w:rFonts w:ascii="Arial" w:hAnsi="Arial" w:cs="Arial"/>
          <w:sz w:val="20"/>
          <w:szCs w:val="20"/>
        </w:rPr>
        <w:t xml:space="preserve"> in last 10 years, giving</w:t>
      </w:r>
      <w:r w:rsidR="00BE6B08">
        <w:rPr>
          <w:rFonts w:ascii="Arial" w:hAnsi="Arial" w:cs="Arial"/>
          <w:sz w:val="20"/>
          <w:szCs w:val="20"/>
        </w:rPr>
        <w:t xml:space="preserve"> the</w:t>
      </w:r>
      <w:r w:rsidR="008B4045">
        <w:rPr>
          <w:rFonts w:ascii="Arial" w:hAnsi="Arial" w:cs="Arial"/>
          <w:sz w:val="20"/>
          <w:szCs w:val="20"/>
        </w:rPr>
        <w:t xml:space="preserve"> highest ever </w:t>
      </w:r>
      <w:r w:rsidR="00997B1E">
        <w:rPr>
          <w:rFonts w:ascii="Arial" w:hAnsi="Arial" w:cs="Arial"/>
          <w:sz w:val="20"/>
          <w:szCs w:val="20"/>
        </w:rPr>
        <w:t>mpg</w:t>
      </w:r>
      <w:r w:rsidR="008B4045">
        <w:rPr>
          <w:rFonts w:ascii="Arial" w:hAnsi="Arial" w:cs="Arial"/>
          <w:sz w:val="20"/>
          <w:szCs w:val="20"/>
        </w:rPr>
        <w:t xml:space="preserve">. </w:t>
      </w:r>
    </w:p>
    <w:p w:rsidR="00D768A9" w:rsidRDefault="00DD7EF9" w:rsidP="00D97951">
      <w:pPr>
        <w:numPr>
          <w:ilvl w:val="0"/>
          <w:numId w:val="2"/>
        </w:numPr>
        <w:spacing w:line="360" w:lineRule="auto"/>
        <w:ind w:left="357" w:hanging="357"/>
        <w:rPr>
          <w:rFonts w:ascii="Arial" w:hAnsi="Arial" w:cs="Arial"/>
          <w:sz w:val="20"/>
          <w:szCs w:val="20"/>
        </w:rPr>
      </w:pPr>
      <w:r>
        <w:rPr>
          <w:rFonts w:ascii="Arial" w:hAnsi="Arial" w:cs="Arial"/>
          <w:sz w:val="20"/>
          <w:szCs w:val="20"/>
        </w:rPr>
        <w:t xml:space="preserve">New car registrations over the first </w:t>
      </w:r>
      <w:r w:rsidR="008F048D">
        <w:rPr>
          <w:rFonts w:ascii="Arial" w:hAnsi="Arial" w:cs="Arial"/>
          <w:sz w:val="20"/>
          <w:szCs w:val="20"/>
        </w:rPr>
        <w:t>1</w:t>
      </w:r>
      <w:r w:rsidR="00324817">
        <w:rPr>
          <w:rFonts w:ascii="Arial" w:hAnsi="Arial" w:cs="Arial"/>
          <w:sz w:val="20"/>
          <w:szCs w:val="20"/>
        </w:rPr>
        <w:t>1</w:t>
      </w:r>
      <w:r>
        <w:rPr>
          <w:rFonts w:ascii="Arial" w:hAnsi="Arial" w:cs="Arial"/>
          <w:sz w:val="20"/>
          <w:szCs w:val="20"/>
        </w:rPr>
        <w:t xml:space="preserve"> months of 2011 were down 4.</w:t>
      </w:r>
      <w:r w:rsidR="007C2406">
        <w:rPr>
          <w:rFonts w:ascii="Arial" w:hAnsi="Arial" w:cs="Arial"/>
          <w:sz w:val="20"/>
          <w:szCs w:val="20"/>
        </w:rPr>
        <w:t>5</w:t>
      </w:r>
      <w:r>
        <w:rPr>
          <w:rFonts w:ascii="Arial" w:hAnsi="Arial" w:cs="Arial"/>
          <w:sz w:val="20"/>
          <w:szCs w:val="20"/>
        </w:rPr>
        <w:t>%</w:t>
      </w:r>
      <w:r w:rsidR="00D768A9">
        <w:rPr>
          <w:rFonts w:ascii="Arial" w:hAnsi="Arial" w:cs="Arial"/>
          <w:sz w:val="20"/>
          <w:szCs w:val="20"/>
        </w:rPr>
        <w:t>, at</w:t>
      </w:r>
      <w:r>
        <w:rPr>
          <w:rFonts w:ascii="Arial" w:hAnsi="Arial" w:cs="Arial"/>
          <w:sz w:val="20"/>
          <w:szCs w:val="20"/>
        </w:rPr>
        <w:t xml:space="preserve"> 1,8</w:t>
      </w:r>
      <w:r w:rsidR="00324817">
        <w:rPr>
          <w:rFonts w:ascii="Arial" w:hAnsi="Arial" w:cs="Arial"/>
          <w:sz w:val="20"/>
          <w:szCs w:val="20"/>
        </w:rPr>
        <w:t>2</w:t>
      </w:r>
      <w:r w:rsidR="00FC71A9">
        <w:rPr>
          <w:rFonts w:ascii="Arial" w:hAnsi="Arial" w:cs="Arial"/>
          <w:sz w:val="20"/>
          <w:szCs w:val="20"/>
        </w:rPr>
        <w:t>2,065</w:t>
      </w:r>
      <w:r>
        <w:rPr>
          <w:rFonts w:ascii="Arial" w:hAnsi="Arial" w:cs="Arial"/>
          <w:sz w:val="20"/>
          <w:szCs w:val="20"/>
        </w:rPr>
        <w:t xml:space="preserve"> units</w:t>
      </w:r>
      <w:r w:rsidR="00D768A9">
        <w:rPr>
          <w:rFonts w:ascii="Arial" w:hAnsi="Arial" w:cs="Arial"/>
          <w:sz w:val="20"/>
          <w:szCs w:val="20"/>
        </w:rPr>
        <w:t>.</w:t>
      </w:r>
    </w:p>
    <w:p w:rsidR="00D768A9" w:rsidRDefault="00D97951" w:rsidP="00D97951">
      <w:pPr>
        <w:numPr>
          <w:ilvl w:val="0"/>
          <w:numId w:val="2"/>
        </w:numPr>
        <w:spacing w:line="360" w:lineRule="auto"/>
        <w:ind w:left="357" w:hanging="357"/>
        <w:rPr>
          <w:rFonts w:ascii="Arial" w:hAnsi="Arial" w:cs="Arial"/>
          <w:sz w:val="20"/>
          <w:szCs w:val="20"/>
        </w:rPr>
      </w:pPr>
      <w:r>
        <w:rPr>
          <w:rFonts w:ascii="Arial" w:hAnsi="Arial" w:cs="Arial"/>
          <w:sz w:val="20"/>
          <w:szCs w:val="20"/>
        </w:rPr>
        <w:t>M</w:t>
      </w:r>
      <w:r w:rsidR="00D768A9">
        <w:rPr>
          <w:rFonts w:ascii="Arial" w:hAnsi="Arial" w:cs="Arial"/>
          <w:sz w:val="20"/>
          <w:szCs w:val="20"/>
        </w:rPr>
        <w:t xml:space="preserve">arket </w:t>
      </w:r>
      <w:r w:rsidR="00324817">
        <w:rPr>
          <w:rFonts w:ascii="Arial" w:hAnsi="Arial" w:cs="Arial"/>
          <w:sz w:val="20"/>
          <w:szCs w:val="20"/>
        </w:rPr>
        <w:t xml:space="preserve">looks set to better full </w:t>
      </w:r>
      <w:r w:rsidR="00D768A9">
        <w:rPr>
          <w:rFonts w:ascii="Arial" w:hAnsi="Arial" w:cs="Arial"/>
          <w:sz w:val="20"/>
          <w:szCs w:val="20"/>
        </w:rPr>
        <w:t xml:space="preserve">year </w:t>
      </w:r>
      <w:r w:rsidR="00324817">
        <w:rPr>
          <w:rFonts w:ascii="Arial" w:hAnsi="Arial" w:cs="Arial"/>
          <w:sz w:val="20"/>
          <w:szCs w:val="20"/>
        </w:rPr>
        <w:t xml:space="preserve">forecast </w:t>
      </w:r>
      <w:r>
        <w:rPr>
          <w:rFonts w:ascii="Arial" w:hAnsi="Arial" w:cs="Arial"/>
          <w:sz w:val="20"/>
          <w:szCs w:val="20"/>
        </w:rPr>
        <w:t>o</w:t>
      </w:r>
      <w:r w:rsidR="00D7400D">
        <w:rPr>
          <w:rFonts w:ascii="Arial" w:hAnsi="Arial" w:cs="Arial"/>
          <w:sz w:val="20"/>
          <w:szCs w:val="20"/>
        </w:rPr>
        <w:t xml:space="preserve">f </w:t>
      </w:r>
      <w:r w:rsidR="00D768A9">
        <w:rPr>
          <w:rFonts w:ascii="Arial" w:hAnsi="Arial" w:cs="Arial"/>
          <w:sz w:val="20"/>
          <w:szCs w:val="20"/>
        </w:rPr>
        <w:t>1.923 million unit</w:t>
      </w:r>
      <w:r w:rsidR="00D7400D">
        <w:rPr>
          <w:rFonts w:ascii="Arial" w:hAnsi="Arial" w:cs="Arial"/>
          <w:sz w:val="20"/>
          <w:szCs w:val="20"/>
        </w:rPr>
        <w:t>s</w:t>
      </w:r>
      <w:r w:rsidR="00D768A9">
        <w:rPr>
          <w:rFonts w:ascii="Arial" w:hAnsi="Arial" w:cs="Arial"/>
          <w:sz w:val="20"/>
          <w:szCs w:val="20"/>
        </w:rPr>
        <w:t xml:space="preserve">, but </w:t>
      </w:r>
      <w:r>
        <w:rPr>
          <w:rFonts w:ascii="Arial" w:hAnsi="Arial" w:cs="Arial"/>
          <w:sz w:val="20"/>
          <w:szCs w:val="20"/>
        </w:rPr>
        <w:t>caution remains over</w:t>
      </w:r>
      <w:r w:rsidR="006E6547">
        <w:rPr>
          <w:rFonts w:ascii="Arial" w:hAnsi="Arial" w:cs="Arial"/>
          <w:sz w:val="20"/>
          <w:szCs w:val="20"/>
        </w:rPr>
        <w:t xml:space="preserve"> </w:t>
      </w:r>
      <w:r w:rsidR="00D768A9">
        <w:rPr>
          <w:rFonts w:ascii="Arial" w:hAnsi="Arial" w:cs="Arial"/>
          <w:sz w:val="20"/>
          <w:szCs w:val="20"/>
        </w:rPr>
        <w:t>2012.</w:t>
      </w:r>
    </w:p>
    <w:p w:rsidR="002876CD" w:rsidRDefault="002876CD" w:rsidP="00F66B41">
      <w:pPr>
        <w:spacing w:line="276" w:lineRule="auto"/>
        <w:rPr>
          <w:rFonts w:ascii="Arial" w:hAnsi="Arial" w:cs="Arial"/>
          <w:sz w:val="20"/>
          <w:szCs w:val="20"/>
        </w:rPr>
      </w:pPr>
    </w:p>
    <w:p w:rsidR="00C90248" w:rsidRPr="00EF4D11" w:rsidRDefault="00D027AD" w:rsidP="00480533">
      <w:pPr>
        <w:spacing w:line="360" w:lineRule="auto"/>
        <w:rPr>
          <w:rFonts w:ascii="Arial" w:hAnsi="Arial" w:cs="Arial"/>
          <w:sz w:val="20"/>
          <w:szCs w:val="20"/>
        </w:rPr>
      </w:pPr>
      <w:r>
        <w:rPr>
          <w:rFonts w:ascii="Arial" w:hAnsi="Arial" w:cs="Arial"/>
          <w:sz w:val="20"/>
          <w:szCs w:val="20"/>
        </w:rPr>
        <w:t xml:space="preserve">“While the November new car market saw </w:t>
      </w:r>
      <w:r w:rsidR="00C90248" w:rsidRPr="00FF4236">
        <w:rPr>
          <w:rFonts w:ascii="Arial" w:hAnsi="Arial" w:cs="Arial"/>
          <w:sz w:val="20"/>
          <w:szCs w:val="20"/>
        </w:rPr>
        <w:t>a 4</w:t>
      </w:r>
      <w:r w:rsidR="00FC71A9">
        <w:rPr>
          <w:rFonts w:ascii="Arial" w:hAnsi="Arial" w:cs="Arial"/>
          <w:sz w:val="20"/>
          <w:szCs w:val="20"/>
        </w:rPr>
        <w:t>.2</w:t>
      </w:r>
      <w:r w:rsidR="00C90248" w:rsidRPr="00FF4236">
        <w:rPr>
          <w:rFonts w:ascii="Arial" w:hAnsi="Arial" w:cs="Arial"/>
          <w:sz w:val="20"/>
          <w:szCs w:val="20"/>
        </w:rPr>
        <w:t xml:space="preserve">% dip, </w:t>
      </w:r>
      <w:r w:rsidR="00FF4236">
        <w:rPr>
          <w:rFonts w:ascii="Arial" w:hAnsi="Arial" w:cs="Arial"/>
          <w:sz w:val="20"/>
          <w:szCs w:val="20"/>
        </w:rPr>
        <w:t>the fuel efficiency of new models broke all records with the averag</w:t>
      </w:r>
      <w:r w:rsidR="00E06BDA">
        <w:rPr>
          <w:rFonts w:ascii="Arial" w:hAnsi="Arial" w:cs="Arial"/>
          <w:sz w:val="20"/>
          <w:szCs w:val="20"/>
        </w:rPr>
        <w:t>e new car achieving</w:t>
      </w:r>
      <w:r w:rsidR="009F37E8">
        <w:rPr>
          <w:rFonts w:ascii="Arial" w:hAnsi="Arial" w:cs="Arial"/>
          <w:sz w:val="20"/>
          <w:szCs w:val="20"/>
        </w:rPr>
        <w:t xml:space="preserve"> 52.5</w:t>
      </w:r>
      <w:r w:rsidR="00FF4236">
        <w:rPr>
          <w:rFonts w:ascii="Arial" w:hAnsi="Arial" w:cs="Arial"/>
          <w:sz w:val="20"/>
          <w:szCs w:val="20"/>
        </w:rPr>
        <w:t>mpg</w:t>
      </w:r>
      <w:r w:rsidR="00C90248" w:rsidRPr="00FF4236">
        <w:rPr>
          <w:rFonts w:ascii="Arial" w:hAnsi="Arial" w:cs="Arial"/>
          <w:sz w:val="20"/>
          <w:szCs w:val="20"/>
        </w:rPr>
        <w:t xml:space="preserve">,” said Paul </w:t>
      </w:r>
      <w:r w:rsidR="00FF4236">
        <w:rPr>
          <w:rFonts w:ascii="Arial" w:hAnsi="Arial" w:cs="Arial"/>
          <w:sz w:val="20"/>
          <w:szCs w:val="20"/>
        </w:rPr>
        <w:t>Everitt, SMMT Chief Executive. “Despite the Chancellor delaying the</w:t>
      </w:r>
      <w:r w:rsidR="00C90248" w:rsidRPr="00FF4236">
        <w:rPr>
          <w:rFonts w:ascii="Arial" w:hAnsi="Arial" w:cs="Arial"/>
          <w:sz w:val="20"/>
          <w:szCs w:val="20"/>
        </w:rPr>
        <w:t xml:space="preserve"> 3p rise in fuel duty</w:t>
      </w:r>
      <w:r w:rsidR="0051101E">
        <w:rPr>
          <w:rFonts w:ascii="Arial" w:hAnsi="Arial" w:cs="Arial"/>
          <w:sz w:val="20"/>
          <w:szCs w:val="20"/>
        </w:rPr>
        <w:t xml:space="preserve">, </w:t>
      </w:r>
      <w:r w:rsidR="00B93460">
        <w:rPr>
          <w:rFonts w:ascii="Arial" w:hAnsi="Arial" w:cs="Arial"/>
          <w:sz w:val="20"/>
          <w:szCs w:val="20"/>
        </w:rPr>
        <w:t>our cost of fuel is</w:t>
      </w:r>
      <w:r w:rsidR="0051101E">
        <w:rPr>
          <w:rFonts w:ascii="Arial" w:hAnsi="Arial" w:cs="Arial"/>
          <w:sz w:val="20"/>
          <w:szCs w:val="20"/>
        </w:rPr>
        <w:t xml:space="preserve"> still among the </w:t>
      </w:r>
      <w:r w:rsidR="0056678E">
        <w:rPr>
          <w:rFonts w:ascii="Arial" w:hAnsi="Arial" w:cs="Arial"/>
          <w:sz w:val="20"/>
          <w:szCs w:val="20"/>
        </w:rPr>
        <w:t>highest</w:t>
      </w:r>
      <w:r w:rsidR="0051101E">
        <w:rPr>
          <w:rFonts w:ascii="Arial" w:hAnsi="Arial" w:cs="Arial"/>
          <w:sz w:val="20"/>
          <w:szCs w:val="20"/>
        </w:rPr>
        <w:t xml:space="preserve"> in Europe</w:t>
      </w:r>
      <w:r w:rsidR="0056678E">
        <w:rPr>
          <w:rFonts w:ascii="Arial" w:hAnsi="Arial" w:cs="Arial"/>
          <w:sz w:val="20"/>
          <w:szCs w:val="20"/>
        </w:rPr>
        <w:t xml:space="preserve">, so </w:t>
      </w:r>
      <w:r w:rsidR="008F7E6E">
        <w:rPr>
          <w:rFonts w:ascii="Arial" w:hAnsi="Arial" w:cs="Arial"/>
          <w:sz w:val="20"/>
          <w:szCs w:val="20"/>
        </w:rPr>
        <w:t xml:space="preserve">customers are sure to welcome </w:t>
      </w:r>
      <w:r w:rsidR="009F37E8">
        <w:rPr>
          <w:rFonts w:ascii="Arial" w:hAnsi="Arial" w:cs="Arial"/>
          <w:sz w:val="20"/>
          <w:szCs w:val="20"/>
        </w:rPr>
        <w:t>the 29</w:t>
      </w:r>
      <w:r w:rsidR="008B4045">
        <w:rPr>
          <w:rFonts w:ascii="Arial" w:hAnsi="Arial" w:cs="Arial"/>
          <w:sz w:val="20"/>
          <w:szCs w:val="20"/>
        </w:rPr>
        <w:t>.3</w:t>
      </w:r>
      <w:r w:rsidR="0056678E">
        <w:rPr>
          <w:rFonts w:ascii="Arial" w:hAnsi="Arial" w:cs="Arial"/>
          <w:sz w:val="20"/>
          <w:szCs w:val="20"/>
        </w:rPr>
        <w:t>% improvement in new car fuel efficiency over the last 10 years</w:t>
      </w:r>
      <w:r w:rsidR="008F7E6E">
        <w:rPr>
          <w:rFonts w:ascii="Arial" w:hAnsi="Arial" w:cs="Arial"/>
          <w:sz w:val="20"/>
          <w:szCs w:val="20"/>
        </w:rPr>
        <w:t>, a demonstration of</w:t>
      </w:r>
      <w:r w:rsidR="0056678E">
        <w:rPr>
          <w:rFonts w:ascii="Arial" w:hAnsi="Arial" w:cs="Arial"/>
          <w:sz w:val="20"/>
          <w:szCs w:val="20"/>
        </w:rPr>
        <w:t xml:space="preserve"> industry’s commitment to delivering good value to motorists</w:t>
      </w:r>
      <w:r w:rsidR="00C90248" w:rsidRPr="00FF4236">
        <w:rPr>
          <w:rFonts w:ascii="Arial" w:hAnsi="Arial" w:cs="Arial"/>
          <w:sz w:val="20"/>
          <w:szCs w:val="20"/>
        </w:rPr>
        <w:t>.”</w:t>
      </w:r>
      <w:r w:rsidR="00C90248" w:rsidRPr="00EF4D11">
        <w:rPr>
          <w:rFonts w:ascii="Arial" w:hAnsi="Arial" w:cs="Arial"/>
          <w:sz w:val="20"/>
          <w:szCs w:val="20"/>
        </w:rPr>
        <w:t xml:space="preserve">  </w:t>
      </w:r>
    </w:p>
    <w:p w:rsidR="006D3CEB" w:rsidRPr="00324817" w:rsidRDefault="006D3CEB" w:rsidP="006D3CEB">
      <w:pPr>
        <w:spacing w:line="360" w:lineRule="auto"/>
        <w:rPr>
          <w:rFonts w:ascii="Arial" w:hAnsi="Arial" w:cs="Arial"/>
          <w:sz w:val="20"/>
          <w:szCs w:val="20"/>
          <w:highlight w:val="yellow"/>
        </w:rPr>
        <w:sectPr w:rsidR="006D3CEB" w:rsidRPr="00324817" w:rsidSect="009E0A59">
          <w:headerReference w:type="default" r:id="rId8"/>
          <w:footerReference w:type="default" r:id="rId9"/>
          <w:pgSz w:w="11899" w:h="16838"/>
          <w:pgMar w:top="1807" w:right="984" w:bottom="709" w:left="709" w:header="0" w:footer="550" w:gutter="0"/>
          <w:cols w:space="708"/>
          <w:docGrid w:linePitch="326"/>
        </w:sectPr>
      </w:pPr>
    </w:p>
    <w:p w:rsidR="00F53DF4" w:rsidRPr="00324817" w:rsidRDefault="00F53DF4" w:rsidP="006D3CEB">
      <w:pPr>
        <w:rPr>
          <w:rFonts w:ascii="Arial" w:hAnsi="Arial" w:cs="Arial"/>
          <w:b/>
          <w:bCs/>
          <w:color w:val="1074CB"/>
          <w:sz w:val="20"/>
          <w:szCs w:val="20"/>
          <w:highlight w:val="yellow"/>
        </w:rPr>
      </w:pPr>
    </w:p>
    <w:p w:rsidR="00F53DF4" w:rsidRPr="00324817" w:rsidRDefault="00F53DF4" w:rsidP="006D3CEB">
      <w:pPr>
        <w:rPr>
          <w:rFonts w:ascii="Arial" w:hAnsi="Arial" w:cs="Arial"/>
          <w:b/>
          <w:bCs/>
          <w:color w:val="1074CB"/>
          <w:sz w:val="20"/>
          <w:szCs w:val="20"/>
          <w:highlight w:val="yellow"/>
        </w:rPr>
      </w:pPr>
    </w:p>
    <w:p w:rsidR="00F53DF4" w:rsidRPr="00324817" w:rsidRDefault="00F53DF4" w:rsidP="006D3CEB">
      <w:pPr>
        <w:rPr>
          <w:rFonts w:ascii="Arial" w:hAnsi="Arial" w:cs="Arial"/>
          <w:b/>
          <w:bCs/>
          <w:color w:val="1074CB"/>
          <w:sz w:val="20"/>
          <w:szCs w:val="20"/>
          <w:highlight w:val="yellow"/>
        </w:rPr>
        <w:sectPr w:rsidR="00F53DF4" w:rsidRPr="00324817" w:rsidSect="009E0A59">
          <w:type w:val="continuous"/>
          <w:pgSz w:w="11899" w:h="16838"/>
          <w:pgMar w:top="1807" w:right="417" w:bottom="709" w:left="709" w:header="0" w:footer="550" w:gutter="0"/>
          <w:cols w:num="2" w:space="708"/>
          <w:docGrid w:linePitch="326"/>
        </w:sectPr>
      </w:pPr>
    </w:p>
    <w:p w:rsidR="00194B44" w:rsidRPr="004B7352" w:rsidRDefault="000B04EC" w:rsidP="006F58CA">
      <w:pPr>
        <w:pStyle w:val="BodyText3"/>
        <w:rPr>
          <w:rFonts w:ascii="Arial" w:hAnsi="Arial" w:cs="Arial"/>
          <w:b/>
          <w:bCs/>
          <w:color w:val="1074CB"/>
          <w:sz w:val="20"/>
          <w:szCs w:val="20"/>
        </w:rPr>
      </w:pPr>
      <w:r w:rsidRPr="004B7352">
        <w:rPr>
          <w:rFonts w:ascii="Arial" w:hAnsi="Arial" w:cs="Arial"/>
          <w:b/>
          <w:bCs/>
          <w:color w:val="1074CB"/>
          <w:sz w:val="20"/>
          <w:szCs w:val="20"/>
        </w:rPr>
        <w:lastRenderedPageBreak/>
        <w:t>Average</w:t>
      </w:r>
      <w:r w:rsidR="00997B1E">
        <w:rPr>
          <w:rFonts w:ascii="Arial" w:hAnsi="Arial" w:cs="Arial"/>
          <w:b/>
          <w:bCs/>
          <w:color w:val="1074CB"/>
          <w:sz w:val="20"/>
          <w:szCs w:val="20"/>
        </w:rPr>
        <w:t xml:space="preserve"> new car miles per gallon (mpg</w:t>
      </w:r>
      <w:r w:rsidR="00D027AD">
        <w:rPr>
          <w:rFonts w:ascii="Arial" w:hAnsi="Arial" w:cs="Arial"/>
          <w:b/>
          <w:bCs/>
          <w:color w:val="1074CB"/>
          <w:sz w:val="20"/>
          <w:szCs w:val="20"/>
        </w:rPr>
        <w:t>)</w:t>
      </w:r>
      <w:r w:rsidRPr="004B7352">
        <w:rPr>
          <w:rFonts w:ascii="Arial" w:hAnsi="Arial" w:cs="Arial"/>
          <w:b/>
          <w:bCs/>
          <w:color w:val="1074CB"/>
          <w:sz w:val="20"/>
          <w:szCs w:val="20"/>
        </w:rPr>
        <w:t xml:space="preserve"> 2001 to </w:t>
      </w:r>
      <w:r w:rsidR="00071778">
        <w:rPr>
          <w:rFonts w:ascii="Arial" w:hAnsi="Arial" w:cs="Arial"/>
          <w:b/>
          <w:bCs/>
          <w:color w:val="1074CB"/>
          <w:sz w:val="20"/>
          <w:szCs w:val="20"/>
        </w:rPr>
        <w:t>YTD 2011</w:t>
      </w:r>
    </w:p>
    <w:p w:rsidR="00C062CF" w:rsidRPr="003F5888" w:rsidRDefault="000B04EC" w:rsidP="006F58CA">
      <w:pPr>
        <w:pStyle w:val="BodyText3"/>
        <w:rPr>
          <w:rFonts w:ascii="Arial" w:hAnsi="Arial" w:cs="Arial"/>
          <w:b/>
          <w:bCs/>
          <w:color w:val="1074CB"/>
          <w:sz w:val="20"/>
          <w:szCs w:val="20"/>
        </w:rPr>
      </w:pPr>
      <w:r w:rsidRPr="000B04EC">
        <w:rPr>
          <w:rFonts w:ascii="Arial" w:hAnsi="Arial" w:cs="Arial"/>
          <w:b/>
          <w:bCs/>
          <w:noProof/>
          <w:color w:val="1074CB"/>
          <w:sz w:val="20"/>
          <w:szCs w:val="20"/>
        </w:rPr>
        <w:drawing>
          <wp:inline distT="0" distB="0" distL="0" distR="0">
            <wp:extent cx="6064369" cy="3355675"/>
            <wp:effectExtent l="0" t="0" r="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53DF4" w:rsidRDefault="00F53DF4" w:rsidP="00B545E1">
      <w:pPr>
        <w:pStyle w:val="Heading1"/>
        <w:ind w:left="0" w:firstLine="0"/>
        <w:rPr>
          <w:rFonts w:ascii="Arial" w:hAnsi="Arial" w:cs="Arial"/>
          <w:color w:val="1074CB"/>
          <w:sz w:val="16"/>
          <w:szCs w:val="16"/>
          <w:u w:val="single"/>
        </w:rPr>
      </w:pPr>
    </w:p>
    <w:p w:rsidR="00DF4D3A" w:rsidRDefault="00DF4D3A" w:rsidP="00480533">
      <w:pPr>
        <w:pStyle w:val="Heading1"/>
        <w:ind w:left="0" w:firstLine="0"/>
        <w:rPr>
          <w:rFonts w:ascii="Arial" w:hAnsi="Arial" w:cs="Arial"/>
          <w:color w:val="1074CB"/>
          <w:sz w:val="16"/>
          <w:szCs w:val="16"/>
        </w:rPr>
      </w:pPr>
      <w:r w:rsidRPr="00A46C84">
        <w:rPr>
          <w:rFonts w:ascii="Arial" w:hAnsi="Arial" w:cs="Arial"/>
          <w:color w:val="1074CB"/>
          <w:sz w:val="16"/>
          <w:szCs w:val="16"/>
          <w:u w:val="single"/>
        </w:rPr>
        <w:t>Notes</w:t>
      </w:r>
      <w:r w:rsidR="001A32AB" w:rsidRPr="001A32AB">
        <w:rPr>
          <w:rFonts w:ascii="Arial" w:hAnsi="Arial" w:cs="Arial"/>
          <w:color w:val="1074CB"/>
          <w:sz w:val="16"/>
          <w:szCs w:val="16"/>
        </w:rPr>
        <w:t xml:space="preserve"> </w:t>
      </w:r>
    </w:p>
    <w:p w:rsidR="00997B1E" w:rsidRDefault="00997B1E" w:rsidP="00997B1E">
      <w:pPr>
        <w:rPr>
          <w:rFonts w:ascii="Arial" w:hAnsi="Arial" w:cs="Arial"/>
          <w:color w:val="1074CB"/>
          <w:sz w:val="16"/>
          <w:szCs w:val="16"/>
        </w:rPr>
      </w:pPr>
      <w:r>
        <w:rPr>
          <w:rFonts w:ascii="Arial"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a united position to government, stakeholders and the media. The automotive industry is a vital part of the UK economy accounting for £49 billion turnover and £10 billion value added. With over 700,000 jobs dependent on the industry, it accounts for more than 10% of total UK exports and invests £1.3 billion each year in automotive R&amp;D. For more details, see SMMT’s 12th Annual Sustainability Report and Motor Industry Facts at </w:t>
      </w:r>
      <w:hyperlink r:id="rId11" w:history="1">
        <w:r>
          <w:rPr>
            <w:rStyle w:val="Hyperlink"/>
            <w:rFonts w:ascii="Arial" w:hAnsi="Arial" w:cs="Arial"/>
            <w:sz w:val="16"/>
            <w:szCs w:val="16"/>
          </w:rPr>
          <w:t>www.smmt.co.uk/publications</w:t>
        </w:r>
      </w:hyperlink>
      <w:r>
        <w:rPr>
          <w:rFonts w:ascii="Arial" w:hAnsi="Arial" w:cs="Arial"/>
          <w:color w:val="1074CB"/>
          <w:sz w:val="16"/>
          <w:szCs w:val="16"/>
        </w:rPr>
        <w:t xml:space="preserve">.  </w:t>
      </w:r>
    </w:p>
    <w:p w:rsidR="00997B1E" w:rsidRPr="00F841BF" w:rsidRDefault="00997B1E" w:rsidP="00B545E1">
      <w:pPr>
        <w:rPr>
          <w:rFonts w:ascii="Arial" w:hAnsi="Arial" w:cs="Arial"/>
          <w:color w:val="1074CB"/>
          <w:sz w:val="16"/>
          <w:szCs w:val="16"/>
        </w:rPr>
      </w:pPr>
    </w:p>
    <w:p w:rsidR="008D78C5" w:rsidRDefault="008D78C5" w:rsidP="008D78C5">
      <w:pPr>
        <w:rPr>
          <w:rFonts w:ascii="Arial" w:hAnsi="Arial" w:cs="Arial"/>
          <w:color w:val="1074CB"/>
          <w:sz w:val="16"/>
          <w:szCs w:val="16"/>
        </w:rPr>
      </w:pPr>
      <w:r>
        <w:rPr>
          <w:rFonts w:ascii="Arial" w:hAnsi="Arial" w:cs="Arial"/>
          <w:b/>
          <w:color w:val="1074CB"/>
          <w:sz w:val="16"/>
          <w:szCs w:val="16"/>
        </w:rPr>
        <w:t>Media contacts</w:t>
      </w:r>
      <w:r w:rsidR="00480533">
        <w:rPr>
          <w:rFonts w:ascii="Arial" w:hAnsi="Arial" w:cs="Arial"/>
          <w:b/>
          <w:color w:val="1074CB"/>
          <w:sz w:val="16"/>
          <w:szCs w:val="16"/>
        </w:rPr>
        <w:t>:</w:t>
      </w:r>
    </w:p>
    <w:p w:rsidR="00A607A4" w:rsidRDefault="008D78C5" w:rsidP="008D78C5">
      <w:r>
        <w:rPr>
          <w:rFonts w:ascii="Arial" w:hAnsi="Arial" w:cs="Arial"/>
          <w:color w:val="1074CB"/>
          <w:sz w:val="16"/>
          <w:szCs w:val="16"/>
        </w:rPr>
        <w:t>Kate Owen</w:t>
      </w:r>
      <w:r>
        <w:rPr>
          <w:rFonts w:ascii="Arial" w:hAnsi="Arial" w:cs="Arial"/>
          <w:color w:val="1074CB"/>
          <w:sz w:val="16"/>
          <w:szCs w:val="16"/>
        </w:rPr>
        <w:tab/>
      </w:r>
      <w:r>
        <w:rPr>
          <w:rFonts w:ascii="Arial" w:hAnsi="Arial" w:cs="Arial"/>
          <w:color w:val="1074CB"/>
          <w:sz w:val="16"/>
          <w:szCs w:val="16"/>
        </w:rPr>
        <w:tab/>
      </w:r>
      <w:r>
        <w:rPr>
          <w:rFonts w:ascii="Arial" w:hAnsi="Arial" w:cs="Arial"/>
          <w:color w:val="1074CB"/>
          <w:sz w:val="16"/>
          <w:szCs w:val="16"/>
        </w:rPr>
        <w:tab/>
        <w:t>020 7344 1610</w:t>
      </w:r>
      <w:r>
        <w:rPr>
          <w:rFonts w:ascii="Arial" w:hAnsi="Arial" w:cs="Arial"/>
          <w:color w:val="1074CB"/>
          <w:sz w:val="16"/>
          <w:szCs w:val="16"/>
        </w:rPr>
        <w:tab/>
      </w:r>
      <w:r>
        <w:rPr>
          <w:rFonts w:ascii="Arial" w:hAnsi="Arial" w:cs="Arial"/>
          <w:color w:val="1074CB"/>
          <w:sz w:val="16"/>
          <w:szCs w:val="16"/>
        </w:rPr>
        <w:tab/>
      </w:r>
      <w:hyperlink r:id="rId12" w:history="1">
        <w:r>
          <w:rPr>
            <w:rStyle w:val="Hyperlink"/>
            <w:rFonts w:ascii="Arial" w:hAnsi="Arial" w:cs="Arial"/>
            <w:sz w:val="16"/>
            <w:szCs w:val="16"/>
          </w:rPr>
          <w:t>kowen@smmt.co.uk</w:t>
        </w:r>
      </w:hyperlink>
    </w:p>
    <w:p w:rsidR="00F120A4" w:rsidRDefault="00F120A4" w:rsidP="008D78C5">
      <w:pPr>
        <w:rPr>
          <w:rFonts w:ascii="Arial" w:hAnsi="Arial" w:cs="Arial"/>
          <w:color w:val="1074CB"/>
          <w:sz w:val="16"/>
          <w:szCs w:val="16"/>
        </w:rPr>
      </w:pPr>
      <w:r w:rsidRPr="00F120A4">
        <w:rPr>
          <w:rFonts w:ascii="Arial" w:hAnsi="Arial" w:cs="Arial"/>
          <w:color w:val="1074CB"/>
          <w:sz w:val="16"/>
          <w:szCs w:val="16"/>
        </w:rPr>
        <w:t>Jonathan Visscher</w:t>
      </w:r>
      <w:r>
        <w:rPr>
          <w:rFonts w:ascii="Arial" w:hAnsi="Arial" w:cs="Arial"/>
          <w:color w:val="1074CB"/>
          <w:sz w:val="16"/>
          <w:szCs w:val="16"/>
        </w:rPr>
        <w:tab/>
      </w:r>
      <w:r>
        <w:rPr>
          <w:rFonts w:ascii="Arial" w:hAnsi="Arial" w:cs="Arial"/>
          <w:color w:val="1074CB"/>
          <w:sz w:val="16"/>
          <w:szCs w:val="16"/>
        </w:rPr>
        <w:tab/>
      </w:r>
      <w:r>
        <w:rPr>
          <w:rFonts w:ascii="Arial" w:hAnsi="Arial" w:cs="Arial"/>
          <w:color w:val="1074CB"/>
          <w:sz w:val="16"/>
          <w:szCs w:val="16"/>
        </w:rPr>
        <w:tab/>
        <w:t>020 7344 9263</w:t>
      </w:r>
      <w:r>
        <w:rPr>
          <w:rFonts w:ascii="Arial" w:hAnsi="Arial" w:cs="Arial"/>
          <w:color w:val="1074CB"/>
          <w:sz w:val="16"/>
          <w:szCs w:val="16"/>
        </w:rPr>
        <w:tab/>
      </w:r>
      <w:r>
        <w:rPr>
          <w:rFonts w:ascii="Arial" w:hAnsi="Arial" w:cs="Arial"/>
          <w:color w:val="1074CB"/>
          <w:sz w:val="16"/>
          <w:szCs w:val="16"/>
        </w:rPr>
        <w:tab/>
      </w:r>
      <w:hyperlink r:id="rId13" w:history="1">
        <w:r w:rsidRPr="00ED2502">
          <w:rPr>
            <w:rStyle w:val="Hyperlink"/>
            <w:rFonts w:ascii="Arial" w:hAnsi="Arial" w:cs="Arial"/>
            <w:sz w:val="16"/>
            <w:szCs w:val="16"/>
          </w:rPr>
          <w:t>jvisscher@smmt.co.uk</w:t>
        </w:r>
      </w:hyperlink>
      <w:r>
        <w:rPr>
          <w:rFonts w:ascii="Arial" w:hAnsi="Arial" w:cs="Arial"/>
          <w:color w:val="1074CB"/>
          <w:sz w:val="16"/>
          <w:szCs w:val="16"/>
        </w:rPr>
        <w:t xml:space="preserve"> </w:t>
      </w:r>
      <w:r w:rsidRPr="00F120A4">
        <w:rPr>
          <w:rFonts w:ascii="Arial" w:hAnsi="Arial" w:cs="Arial"/>
          <w:color w:val="1074CB"/>
          <w:sz w:val="16"/>
          <w:szCs w:val="16"/>
        </w:rPr>
        <w:t xml:space="preserve"> </w:t>
      </w:r>
    </w:p>
    <w:p w:rsidR="00480533" w:rsidRDefault="00480533" w:rsidP="00480533">
      <w:r>
        <w:rPr>
          <w:rFonts w:ascii="Arial" w:hAnsi="Arial" w:cs="Arial"/>
          <w:color w:val="1074CB"/>
          <w:sz w:val="16"/>
          <w:szCs w:val="16"/>
        </w:rPr>
        <w:t>Nikki Rooke</w:t>
      </w:r>
      <w:r>
        <w:rPr>
          <w:rFonts w:ascii="Arial" w:hAnsi="Arial" w:cs="Arial"/>
          <w:color w:val="1074CB"/>
          <w:sz w:val="16"/>
          <w:szCs w:val="16"/>
        </w:rPr>
        <w:tab/>
      </w:r>
      <w:r>
        <w:rPr>
          <w:rFonts w:ascii="Arial" w:hAnsi="Arial" w:cs="Arial"/>
          <w:color w:val="1074CB"/>
          <w:sz w:val="16"/>
          <w:szCs w:val="16"/>
        </w:rPr>
        <w:tab/>
      </w:r>
      <w:r>
        <w:rPr>
          <w:rFonts w:ascii="Arial" w:hAnsi="Arial" w:cs="Arial"/>
          <w:color w:val="1074CB"/>
          <w:sz w:val="16"/>
          <w:szCs w:val="16"/>
        </w:rPr>
        <w:tab/>
        <w:t>020 7344 9226</w:t>
      </w:r>
      <w:r>
        <w:rPr>
          <w:rFonts w:ascii="Arial" w:hAnsi="Arial" w:cs="Arial"/>
          <w:color w:val="1074CB"/>
          <w:sz w:val="16"/>
          <w:szCs w:val="16"/>
        </w:rPr>
        <w:tab/>
      </w:r>
      <w:r>
        <w:rPr>
          <w:rFonts w:ascii="Arial" w:hAnsi="Arial" w:cs="Arial"/>
          <w:color w:val="1074CB"/>
          <w:sz w:val="16"/>
          <w:szCs w:val="16"/>
        </w:rPr>
        <w:tab/>
      </w:r>
      <w:hyperlink r:id="rId14" w:history="1">
        <w:r>
          <w:rPr>
            <w:rStyle w:val="Hyperlink"/>
            <w:rFonts w:ascii="Arial" w:hAnsi="Arial" w:cs="Arial"/>
            <w:sz w:val="16"/>
            <w:szCs w:val="16"/>
          </w:rPr>
          <w:t>nrooke@smmt.co.uk</w:t>
        </w:r>
      </w:hyperlink>
    </w:p>
    <w:p w:rsidR="00D768A9" w:rsidRDefault="00D768A9" w:rsidP="008D78C5">
      <w:pPr>
        <w:rPr>
          <w:rFonts w:ascii="Arial" w:hAnsi="Arial" w:cs="Arial"/>
          <w:color w:val="1074CB"/>
          <w:sz w:val="16"/>
          <w:szCs w:val="16"/>
        </w:rPr>
      </w:pPr>
    </w:p>
    <w:tbl>
      <w:tblPr>
        <w:tblW w:w="8978" w:type="dxa"/>
        <w:jc w:val="center"/>
        <w:tblCellMar>
          <w:bottom w:w="28" w:type="dxa"/>
        </w:tblCellMar>
        <w:tblLook w:val="0000"/>
      </w:tblPr>
      <w:tblGrid>
        <w:gridCol w:w="390"/>
        <w:gridCol w:w="145"/>
        <w:gridCol w:w="894"/>
        <w:gridCol w:w="239"/>
        <w:gridCol w:w="903"/>
        <w:gridCol w:w="315"/>
        <w:gridCol w:w="53"/>
        <w:gridCol w:w="862"/>
        <w:gridCol w:w="102"/>
        <w:gridCol w:w="121"/>
        <w:gridCol w:w="884"/>
        <w:gridCol w:w="193"/>
        <w:gridCol w:w="659"/>
        <w:gridCol w:w="208"/>
        <w:gridCol w:w="210"/>
        <w:gridCol w:w="688"/>
        <w:gridCol w:w="281"/>
        <w:gridCol w:w="50"/>
        <w:gridCol w:w="675"/>
        <w:gridCol w:w="1106"/>
      </w:tblGrid>
      <w:tr w:rsidR="00D768A9" w:rsidTr="00071778">
        <w:trPr>
          <w:trHeight w:val="229"/>
          <w:jc w:val="center"/>
        </w:trPr>
        <w:tc>
          <w:tcPr>
            <w:tcW w:w="1429" w:type="dxa"/>
            <w:gridSpan w:val="3"/>
            <w:tcBorders>
              <w:top w:val="single" w:sz="4" w:space="0" w:color="auto"/>
              <w:left w:val="single" w:sz="4" w:space="0" w:color="auto"/>
              <w:bottom w:val="nil"/>
              <w:right w:val="nil"/>
            </w:tcBorders>
            <w:noWrap/>
            <w:vAlign w:val="bottom"/>
          </w:tcPr>
          <w:p w:rsidR="00D768A9" w:rsidRDefault="00250329" w:rsidP="00250329">
            <w:pPr>
              <w:rPr>
                <w:rFonts w:ascii="Arial" w:hAnsi="Arial" w:cs="Arial"/>
                <w:b/>
                <w:bCs/>
                <w:color w:val="1074CB"/>
                <w:sz w:val="20"/>
                <w:szCs w:val="20"/>
              </w:rPr>
            </w:pPr>
            <w:r>
              <w:rPr>
                <w:rFonts w:ascii="Arial" w:hAnsi="Arial" w:cs="Arial"/>
                <w:b/>
                <w:bCs/>
                <w:color w:val="1074CB"/>
                <w:sz w:val="20"/>
                <w:szCs w:val="20"/>
              </w:rPr>
              <w:t>Novem</w:t>
            </w:r>
            <w:r w:rsidR="00D768A9">
              <w:rPr>
                <w:rFonts w:ascii="Arial" w:hAnsi="Arial" w:cs="Arial"/>
                <w:b/>
                <w:bCs/>
                <w:color w:val="1074CB"/>
                <w:sz w:val="20"/>
                <w:szCs w:val="20"/>
              </w:rPr>
              <w:t>ber</w:t>
            </w:r>
          </w:p>
        </w:tc>
        <w:tc>
          <w:tcPr>
            <w:tcW w:w="1142" w:type="dxa"/>
            <w:gridSpan w:val="2"/>
            <w:tcBorders>
              <w:top w:val="single" w:sz="4" w:space="0" w:color="auto"/>
              <w:left w:val="nil"/>
              <w:bottom w:val="nil"/>
              <w:right w:val="nil"/>
            </w:tcBorders>
            <w:noWrap/>
            <w:vAlign w:val="bottom"/>
          </w:tcPr>
          <w:p w:rsidR="00D768A9" w:rsidRDefault="00D768A9">
            <w:pPr>
              <w:jc w:val="right"/>
              <w:rPr>
                <w:rFonts w:ascii="Arial" w:hAnsi="Arial" w:cs="Arial"/>
                <w:b/>
                <w:bCs/>
                <w:color w:val="1074CB"/>
                <w:sz w:val="20"/>
                <w:szCs w:val="20"/>
              </w:rPr>
            </w:pPr>
            <w:r>
              <w:rPr>
                <w:rFonts w:ascii="Arial" w:hAnsi="Arial" w:cs="Arial"/>
                <w:b/>
                <w:bCs/>
                <w:color w:val="1074CB"/>
                <w:sz w:val="20"/>
                <w:szCs w:val="20"/>
              </w:rPr>
              <w:t>Total</w:t>
            </w:r>
          </w:p>
        </w:tc>
        <w:tc>
          <w:tcPr>
            <w:tcW w:w="1230" w:type="dxa"/>
            <w:gridSpan w:val="3"/>
            <w:tcBorders>
              <w:top w:val="single" w:sz="4" w:space="0" w:color="auto"/>
              <w:left w:val="nil"/>
              <w:bottom w:val="nil"/>
              <w:right w:val="nil"/>
            </w:tcBorders>
            <w:noWrap/>
            <w:vAlign w:val="bottom"/>
          </w:tcPr>
          <w:p w:rsidR="00D768A9" w:rsidRDefault="00D768A9">
            <w:pPr>
              <w:jc w:val="right"/>
              <w:rPr>
                <w:rFonts w:ascii="Arial" w:hAnsi="Arial" w:cs="Arial"/>
                <w:b/>
                <w:bCs/>
                <w:color w:val="1074CB"/>
                <w:sz w:val="20"/>
                <w:szCs w:val="20"/>
              </w:rPr>
            </w:pPr>
            <w:r>
              <w:rPr>
                <w:rFonts w:ascii="Arial" w:hAnsi="Arial" w:cs="Arial"/>
                <w:b/>
                <w:bCs/>
                <w:color w:val="1074CB"/>
                <w:sz w:val="20"/>
                <w:szCs w:val="20"/>
              </w:rPr>
              <w:t>Diesel</w:t>
            </w:r>
          </w:p>
        </w:tc>
        <w:tc>
          <w:tcPr>
            <w:tcW w:w="1107" w:type="dxa"/>
            <w:gridSpan w:val="3"/>
            <w:tcBorders>
              <w:top w:val="single" w:sz="4" w:space="0" w:color="auto"/>
              <w:left w:val="nil"/>
              <w:bottom w:val="nil"/>
              <w:right w:val="nil"/>
            </w:tcBorders>
            <w:noWrap/>
            <w:vAlign w:val="bottom"/>
          </w:tcPr>
          <w:p w:rsidR="00D768A9" w:rsidRDefault="00D768A9">
            <w:pPr>
              <w:jc w:val="right"/>
              <w:rPr>
                <w:rFonts w:ascii="Arial" w:hAnsi="Arial" w:cs="Arial"/>
                <w:b/>
                <w:bCs/>
                <w:color w:val="1074CB"/>
                <w:sz w:val="20"/>
                <w:szCs w:val="20"/>
              </w:rPr>
            </w:pPr>
            <w:r>
              <w:rPr>
                <w:rFonts w:ascii="Arial" w:hAnsi="Arial" w:cs="Arial"/>
                <w:b/>
                <w:bCs/>
                <w:color w:val="1074CB"/>
                <w:sz w:val="20"/>
                <w:szCs w:val="20"/>
              </w:rPr>
              <w:t>Petrol</w:t>
            </w:r>
          </w:p>
        </w:tc>
        <w:tc>
          <w:tcPr>
            <w:tcW w:w="852" w:type="dxa"/>
            <w:gridSpan w:val="2"/>
            <w:tcBorders>
              <w:top w:val="single" w:sz="4" w:space="0" w:color="auto"/>
              <w:left w:val="nil"/>
              <w:bottom w:val="nil"/>
              <w:right w:val="nil"/>
            </w:tcBorders>
            <w:noWrap/>
            <w:vAlign w:val="bottom"/>
          </w:tcPr>
          <w:p w:rsidR="00D768A9" w:rsidRDefault="00D768A9">
            <w:pPr>
              <w:jc w:val="right"/>
              <w:rPr>
                <w:rFonts w:ascii="Arial" w:hAnsi="Arial" w:cs="Arial"/>
                <w:b/>
                <w:bCs/>
                <w:color w:val="1074CB"/>
                <w:sz w:val="20"/>
                <w:szCs w:val="20"/>
              </w:rPr>
            </w:pPr>
            <w:r>
              <w:rPr>
                <w:rFonts w:ascii="Arial" w:hAnsi="Arial" w:cs="Arial"/>
                <w:b/>
                <w:bCs/>
                <w:color w:val="1074CB"/>
                <w:sz w:val="20"/>
                <w:szCs w:val="20"/>
              </w:rPr>
              <w:t>AFV</w:t>
            </w:r>
          </w:p>
        </w:tc>
        <w:tc>
          <w:tcPr>
            <w:tcW w:w="1106" w:type="dxa"/>
            <w:gridSpan w:val="3"/>
            <w:tcBorders>
              <w:top w:val="single" w:sz="4" w:space="0" w:color="auto"/>
              <w:left w:val="nil"/>
              <w:bottom w:val="nil"/>
              <w:right w:val="nil"/>
            </w:tcBorders>
            <w:noWrap/>
            <w:vAlign w:val="bottom"/>
          </w:tcPr>
          <w:p w:rsidR="00D768A9" w:rsidRDefault="00D768A9">
            <w:pPr>
              <w:jc w:val="right"/>
              <w:rPr>
                <w:rFonts w:ascii="Arial" w:hAnsi="Arial" w:cs="Arial"/>
                <w:b/>
                <w:bCs/>
                <w:color w:val="1074CB"/>
                <w:sz w:val="20"/>
                <w:szCs w:val="20"/>
              </w:rPr>
            </w:pPr>
            <w:r>
              <w:rPr>
                <w:rFonts w:ascii="Arial" w:hAnsi="Arial" w:cs="Arial"/>
                <w:b/>
                <w:bCs/>
                <w:color w:val="1074CB"/>
                <w:sz w:val="20"/>
                <w:szCs w:val="20"/>
              </w:rPr>
              <w:t>Private</w:t>
            </w:r>
          </w:p>
        </w:tc>
        <w:tc>
          <w:tcPr>
            <w:tcW w:w="1006" w:type="dxa"/>
            <w:gridSpan w:val="3"/>
            <w:tcBorders>
              <w:top w:val="single" w:sz="4" w:space="0" w:color="auto"/>
              <w:left w:val="nil"/>
              <w:bottom w:val="nil"/>
              <w:right w:val="nil"/>
            </w:tcBorders>
            <w:noWrap/>
            <w:vAlign w:val="bottom"/>
          </w:tcPr>
          <w:p w:rsidR="00D768A9" w:rsidRDefault="00D768A9">
            <w:pPr>
              <w:jc w:val="right"/>
              <w:rPr>
                <w:rFonts w:ascii="Arial" w:hAnsi="Arial" w:cs="Arial"/>
                <w:b/>
                <w:bCs/>
                <w:color w:val="1074CB"/>
                <w:sz w:val="20"/>
                <w:szCs w:val="20"/>
              </w:rPr>
            </w:pPr>
            <w:r>
              <w:rPr>
                <w:rFonts w:ascii="Arial" w:hAnsi="Arial" w:cs="Arial"/>
                <w:b/>
                <w:bCs/>
                <w:color w:val="1074CB"/>
                <w:sz w:val="20"/>
                <w:szCs w:val="20"/>
              </w:rPr>
              <w:t>Fleet</w:t>
            </w:r>
          </w:p>
        </w:tc>
        <w:tc>
          <w:tcPr>
            <w:tcW w:w="1106" w:type="dxa"/>
            <w:tcBorders>
              <w:top w:val="single" w:sz="4" w:space="0" w:color="auto"/>
              <w:left w:val="nil"/>
              <w:bottom w:val="nil"/>
              <w:right w:val="single" w:sz="4" w:space="0" w:color="auto"/>
            </w:tcBorders>
            <w:noWrap/>
            <w:vAlign w:val="bottom"/>
          </w:tcPr>
          <w:p w:rsidR="00D768A9" w:rsidRDefault="00D768A9">
            <w:pPr>
              <w:jc w:val="right"/>
              <w:rPr>
                <w:rFonts w:ascii="Arial" w:hAnsi="Arial" w:cs="Arial"/>
                <w:b/>
                <w:bCs/>
                <w:color w:val="1074CB"/>
                <w:sz w:val="20"/>
                <w:szCs w:val="20"/>
              </w:rPr>
            </w:pPr>
            <w:r>
              <w:rPr>
                <w:rFonts w:ascii="Arial" w:hAnsi="Arial" w:cs="Arial"/>
                <w:b/>
                <w:bCs/>
                <w:color w:val="1074CB"/>
                <w:sz w:val="20"/>
                <w:szCs w:val="20"/>
              </w:rPr>
              <w:t>Business</w:t>
            </w:r>
          </w:p>
        </w:tc>
      </w:tr>
      <w:tr w:rsidR="00D768A9" w:rsidRPr="00BC0CED" w:rsidTr="00071778">
        <w:trPr>
          <w:trHeight w:val="71"/>
          <w:jc w:val="center"/>
        </w:trPr>
        <w:tc>
          <w:tcPr>
            <w:tcW w:w="1429" w:type="dxa"/>
            <w:gridSpan w:val="3"/>
            <w:tcBorders>
              <w:top w:val="nil"/>
              <w:left w:val="single" w:sz="4" w:space="0" w:color="auto"/>
              <w:bottom w:val="nil"/>
              <w:right w:val="nil"/>
            </w:tcBorders>
            <w:noWrap/>
            <w:vAlign w:val="bottom"/>
          </w:tcPr>
          <w:p w:rsidR="00D768A9" w:rsidRDefault="00D768A9">
            <w:pPr>
              <w:rPr>
                <w:rFonts w:ascii="Arial" w:hAnsi="Arial" w:cs="Arial"/>
                <w:b/>
                <w:bCs/>
                <w:sz w:val="20"/>
                <w:szCs w:val="20"/>
              </w:rPr>
            </w:pPr>
            <w:r>
              <w:rPr>
                <w:rFonts w:ascii="Arial" w:hAnsi="Arial" w:cs="Arial"/>
                <w:b/>
                <w:bCs/>
                <w:sz w:val="20"/>
                <w:szCs w:val="20"/>
              </w:rPr>
              <w:t> </w:t>
            </w:r>
          </w:p>
        </w:tc>
        <w:tc>
          <w:tcPr>
            <w:tcW w:w="1142" w:type="dxa"/>
            <w:gridSpan w:val="2"/>
            <w:tcBorders>
              <w:top w:val="nil"/>
              <w:left w:val="nil"/>
              <w:bottom w:val="nil"/>
              <w:right w:val="nil"/>
            </w:tcBorders>
            <w:noWrap/>
            <w:vAlign w:val="bottom"/>
          </w:tcPr>
          <w:p w:rsidR="00D768A9" w:rsidRDefault="00D768A9">
            <w:pPr>
              <w:rPr>
                <w:rFonts w:ascii="Arial" w:hAnsi="Arial" w:cs="Arial"/>
                <w:sz w:val="20"/>
                <w:szCs w:val="20"/>
              </w:rPr>
            </w:pPr>
          </w:p>
        </w:tc>
        <w:tc>
          <w:tcPr>
            <w:tcW w:w="1230" w:type="dxa"/>
            <w:gridSpan w:val="3"/>
            <w:tcBorders>
              <w:top w:val="nil"/>
              <w:left w:val="nil"/>
              <w:bottom w:val="nil"/>
              <w:right w:val="nil"/>
            </w:tcBorders>
            <w:noWrap/>
            <w:vAlign w:val="bottom"/>
          </w:tcPr>
          <w:p w:rsidR="00D768A9" w:rsidRDefault="00D768A9">
            <w:pPr>
              <w:rPr>
                <w:rFonts w:ascii="Arial" w:hAnsi="Arial" w:cs="Arial"/>
                <w:sz w:val="20"/>
                <w:szCs w:val="20"/>
              </w:rPr>
            </w:pPr>
          </w:p>
        </w:tc>
        <w:tc>
          <w:tcPr>
            <w:tcW w:w="1107" w:type="dxa"/>
            <w:gridSpan w:val="3"/>
            <w:tcBorders>
              <w:top w:val="nil"/>
              <w:left w:val="nil"/>
              <w:bottom w:val="nil"/>
              <w:right w:val="nil"/>
            </w:tcBorders>
            <w:noWrap/>
            <w:vAlign w:val="bottom"/>
          </w:tcPr>
          <w:p w:rsidR="00D768A9" w:rsidRDefault="00D768A9">
            <w:pPr>
              <w:rPr>
                <w:rFonts w:ascii="Arial" w:hAnsi="Arial" w:cs="Arial"/>
                <w:sz w:val="20"/>
                <w:szCs w:val="20"/>
              </w:rPr>
            </w:pPr>
          </w:p>
        </w:tc>
        <w:tc>
          <w:tcPr>
            <w:tcW w:w="852" w:type="dxa"/>
            <w:gridSpan w:val="2"/>
            <w:tcBorders>
              <w:top w:val="nil"/>
              <w:left w:val="nil"/>
              <w:bottom w:val="nil"/>
              <w:right w:val="nil"/>
            </w:tcBorders>
            <w:noWrap/>
            <w:vAlign w:val="bottom"/>
          </w:tcPr>
          <w:p w:rsidR="00D768A9" w:rsidRDefault="00D768A9">
            <w:pPr>
              <w:rPr>
                <w:rFonts w:ascii="Arial" w:hAnsi="Arial" w:cs="Arial"/>
                <w:sz w:val="20"/>
                <w:szCs w:val="20"/>
              </w:rPr>
            </w:pPr>
          </w:p>
        </w:tc>
        <w:tc>
          <w:tcPr>
            <w:tcW w:w="1106" w:type="dxa"/>
            <w:gridSpan w:val="3"/>
            <w:tcBorders>
              <w:top w:val="nil"/>
              <w:left w:val="nil"/>
              <w:bottom w:val="nil"/>
              <w:right w:val="nil"/>
            </w:tcBorders>
            <w:noWrap/>
            <w:vAlign w:val="bottom"/>
          </w:tcPr>
          <w:p w:rsidR="00D768A9" w:rsidRDefault="00D768A9">
            <w:pPr>
              <w:rPr>
                <w:rFonts w:ascii="Arial" w:hAnsi="Arial" w:cs="Arial"/>
                <w:sz w:val="20"/>
                <w:szCs w:val="20"/>
              </w:rPr>
            </w:pPr>
          </w:p>
        </w:tc>
        <w:tc>
          <w:tcPr>
            <w:tcW w:w="1006" w:type="dxa"/>
            <w:gridSpan w:val="3"/>
            <w:tcBorders>
              <w:top w:val="nil"/>
              <w:left w:val="nil"/>
              <w:bottom w:val="nil"/>
              <w:right w:val="nil"/>
            </w:tcBorders>
            <w:noWrap/>
            <w:vAlign w:val="bottom"/>
          </w:tcPr>
          <w:p w:rsidR="00D768A9" w:rsidRDefault="00D768A9">
            <w:pPr>
              <w:rPr>
                <w:rFonts w:ascii="Arial" w:hAnsi="Arial" w:cs="Arial"/>
                <w:sz w:val="20"/>
                <w:szCs w:val="20"/>
              </w:rPr>
            </w:pPr>
          </w:p>
        </w:tc>
        <w:tc>
          <w:tcPr>
            <w:tcW w:w="1106" w:type="dxa"/>
            <w:tcBorders>
              <w:top w:val="nil"/>
              <w:left w:val="nil"/>
              <w:bottom w:val="nil"/>
              <w:right w:val="single" w:sz="4" w:space="0" w:color="auto"/>
            </w:tcBorders>
            <w:noWrap/>
            <w:vAlign w:val="bottom"/>
          </w:tcPr>
          <w:p w:rsidR="00D768A9" w:rsidRDefault="00D768A9">
            <w:pPr>
              <w:rPr>
                <w:rFonts w:ascii="Arial" w:hAnsi="Arial" w:cs="Arial"/>
                <w:sz w:val="20"/>
                <w:szCs w:val="20"/>
              </w:rPr>
            </w:pPr>
            <w:r>
              <w:rPr>
                <w:rFonts w:ascii="Arial" w:hAnsi="Arial" w:cs="Arial"/>
                <w:sz w:val="20"/>
                <w:szCs w:val="20"/>
              </w:rPr>
              <w:t> </w:t>
            </w:r>
          </w:p>
        </w:tc>
      </w:tr>
      <w:tr w:rsidR="00FC71A9" w:rsidTr="00071778">
        <w:trPr>
          <w:trHeight w:val="225"/>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sz w:val="20"/>
                <w:szCs w:val="20"/>
              </w:rPr>
            </w:pPr>
            <w:r>
              <w:rPr>
                <w:rFonts w:ascii="Arial" w:hAnsi="Arial" w:cs="Arial"/>
                <w:sz w:val="20"/>
                <w:szCs w:val="20"/>
              </w:rPr>
              <w:t>2011</w:t>
            </w:r>
          </w:p>
        </w:tc>
        <w:tc>
          <w:tcPr>
            <w:tcW w:w="114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134,027</w:t>
            </w:r>
          </w:p>
        </w:tc>
        <w:tc>
          <w:tcPr>
            <w:tcW w:w="1230" w:type="dxa"/>
            <w:gridSpan w:val="3"/>
            <w:tcBorders>
              <w:top w:val="nil"/>
              <w:left w:val="single" w:sz="4" w:space="0" w:color="auto"/>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74,539</w:t>
            </w:r>
          </w:p>
        </w:tc>
        <w:tc>
          <w:tcPr>
            <w:tcW w:w="1107"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57,342</w:t>
            </w:r>
          </w:p>
        </w:tc>
        <w:tc>
          <w:tcPr>
            <w:tcW w:w="85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2,146</w:t>
            </w:r>
          </w:p>
        </w:tc>
        <w:tc>
          <w:tcPr>
            <w:tcW w:w="1106" w:type="dxa"/>
            <w:gridSpan w:val="3"/>
            <w:tcBorders>
              <w:top w:val="nil"/>
              <w:left w:val="single" w:sz="4" w:space="0" w:color="auto"/>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54,260</w:t>
            </w:r>
          </w:p>
        </w:tc>
        <w:tc>
          <w:tcPr>
            <w:tcW w:w="1006"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74,638</w:t>
            </w:r>
          </w:p>
        </w:tc>
        <w:tc>
          <w:tcPr>
            <w:tcW w:w="1106" w:type="dxa"/>
            <w:tcBorders>
              <w:top w:val="nil"/>
              <w:left w:val="nil"/>
              <w:bottom w:val="nil"/>
              <w:right w:val="single" w:sz="4" w:space="0" w:color="auto"/>
            </w:tcBorders>
            <w:noWrap/>
            <w:vAlign w:val="bottom"/>
          </w:tcPr>
          <w:p w:rsidR="00FC71A9" w:rsidRDefault="00FC71A9">
            <w:pPr>
              <w:jc w:val="right"/>
              <w:rPr>
                <w:rFonts w:ascii="Arial" w:hAnsi="Arial" w:cs="Arial"/>
                <w:sz w:val="20"/>
                <w:szCs w:val="20"/>
              </w:rPr>
            </w:pPr>
            <w:r>
              <w:rPr>
                <w:rFonts w:ascii="Arial" w:hAnsi="Arial" w:cs="Arial"/>
                <w:sz w:val="20"/>
                <w:szCs w:val="20"/>
              </w:rPr>
              <w:t>5,129</w:t>
            </w:r>
          </w:p>
        </w:tc>
      </w:tr>
      <w:tr w:rsidR="00FC71A9" w:rsidTr="00071778">
        <w:trPr>
          <w:trHeight w:val="225"/>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sz w:val="20"/>
                <w:szCs w:val="20"/>
              </w:rPr>
            </w:pPr>
            <w:r>
              <w:rPr>
                <w:rFonts w:ascii="Arial" w:hAnsi="Arial" w:cs="Arial"/>
                <w:sz w:val="20"/>
                <w:szCs w:val="20"/>
              </w:rPr>
              <w:t>2010</w:t>
            </w:r>
          </w:p>
        </w:tc>
        <w:tc>
          <w:tcPr>
            <w:tcW w:w="114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139,875</w:t>
            </w:r>
          </w:p>
        </w:tc>
        <w:tc>
          <w:tcPr>
            <w:tcW w:w="1230" w:type="dxa"/>
            <w:gridSpan w:val="3"/>
            <w:tcBorders>
              <w:top w:val="nil"/>
              <w:left w:val="single" w:sz="4" w:space="0" w:color="auto"/>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74,168</w:t>
            </w:r>
          </w:p>
        </w:tc>
        <w:tc>
          <w:tcPr>
            <w:tcW w:w="1107"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63,955</w:t>
            </w:r>
          </w:p>
        </w:tc>
        <w:tc>
          <w:tcPr>
            <w:tcW w:w="85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1,752</w:t>
            </w:r>
          </w:p>
        </w:tc>
        <w:tc>
          <w:tcPr>
            <w:tcW w:w="1106" w:type="dxa"/>
            <w:gridSpan w:val="3"/>
            <w:tcBorders>
              <w:top w:val="nil"/>
              <w:left w:val="single" w:sz="4" w:space="0" w:color="auto"/>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64,352</w:t>
            </w:r>
          </w:p>
        </w:tc>
        <w:tc>
          <w:tcPr>
            <w:tcW w:w="1006"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69,442</w:t>
            </w:r>
          </w:p>
        </w:tc>
        <w:tc>
          <w:tcPr>
            <w:tcW w:w="1106" w:type="dxa"/>
            <w:tcBorders>
              <w:top w:val="nil"/>
              <w:left w:val="nil"/>
              <w:bottom w:val="nil"/>
              <w:right w:val="single" w:sz="4" w:space="0" w:color="auto"/>
            </w:tcBorders>
            <w:noWrap/>
            <w:vAlign w:val="bottom"/>
          </w:tcPr>
          <w:p w:rsidR="00FC71A9" w:rsidRDefault="00FC71A9">
            <w:pPr>
              <w:jc w:val="right"/>
              <w:rPr>
                <w:rFonts w:ascii="Arial" w:hAnsi="Arial" w:cs="Arial"/>
                <w:sz w:val="20"/>
                <w:szCs w:val="20"/>
              </w:rPr>
            </w:pPr>
            <w:r>
              <w:rPr>
                <w:rFonts w:ascii="Arial" w:hAnsi="Arial" w:cs="Arial"/>
                <w:sz w:val="20"/>
                <w:szCs w:val="20"/>
              </w:rPr>
              <w:t>6,081</w:t>
            </w:r>
          </w:p>
        </w:tc>
      </w:tr>
      <w:tr w:rsidR="00FC71A9" w:rsidTr="00071778">
        <w:trPr>
          <w:trHeight w:val="225"/>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sz w:val="20"/>
                <w:szCs w:val="20"/>
              </w:rPr>
            </w:pPr>
            <w:r>
              <w:rPr>
                <w:rFonts w:ascii="Arial" w:hAnsi="Arial" w:cs="Arial"/>
                <w:sz w:val="20"/>
                <w:szCs w:val="20"/>
              </w:rPr>
              <w:t>% change</w:t>
            </w:r>
          </w:p>
        </w:tc>
        <w:tc>
          <w:tcPr>
            <w:tcW w:w="114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-4.2%</w:t>
            </w:r>
          </w:p>
        </w:tc>
        <w:tc>
          <w:tcPr>
            <w:tcW w:w="1230" w:type="dxa"/>
            <w:gridSpan w:val="3"/>
            <w:tcBorders>
              <w:top w:val="nil"/>
              <w:left w:val="single" w:sz="4" w:space="0" w:color="auto"/>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0.5%</w:t>
            </w:r>
          </w:p>
        </w:tc>
        <w:tc>
          <w:tcPr>
            <w:tcW w:w="1107"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-10.3%</w:t>
            </w:r>
          </w:p>
        </w:tc>
        <w:tc>
          <w:tcPr>
            <w:tcW w:w="85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22.5%</w:t>
            </w:r>
          </w:p>
        </w:tc>
        <w:tc>
          <w:tcPr>
            <w:tcW w:w="1106" w:type="dxa"/>
            <w:gridSpan w:val="3"/>
            <w:tcBorders>
              <w:top w:val="nil"/>
              <w:left w:val="single" w:sz="4" w:space="0" w:color="auto"/>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-15.7%</w:t>
            </w:r>
          </w:p>
        </w:tc>
        <w:tc>
          <w:tcPr>
            <w:tcW w:w="1006"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7.5%</w:t>
            </w:r>
          </w:p>
        </w:tc>
        <w:tc>
          <w:tcPr>
            <w:tcW w:w="1106" w:type="dxa"/>
            <w:tcBorders>
              <w:top w:val="nil"/>
              <w:left w:val="nil"/>
              <w:bottom w:val="nil"/>
              <w:right w:val="single" w:sz="4" w:space="0" w:color="auto"/>
            </w:tcBorders>
            <w:noWrap/>
            <w:vAlign w:val="bottom"/>
          </w:tcPr>
          <w:p w:rsidR="00FC71A9" w:rsidRDefault="00FC71A9">
            <w:pPr>
              <w:jc w:val="right"/>
              <w:rPr>
                <w:rFonts w:ascii="Arial" w:hAnsi="Arial" w:cs="Arial"/>
                <w:sz w:val="20"/>
                <w:szCs w:val="20"/>
              </w:rPr>
            </w:pPr>
            <w:r>
              <w:rPr>
                <w:rFonts w:ascii="Arial" w:hAnsi="Arial" w:cs="Arial"/>
                <w:sz w:val="20"/>
                <w:szCs w:val="20"/>
              </w:rPr>
              <w:t>-15.7%</w:t>
            </w:r>
          </w:p>
        </w:tc>
      </w:tr>
      <w:tr w:rsidR="00FC71A9" w:rsidTr="00071778">
        <w:trPr>
          <w:trHeight w:val="225"/>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i/>
                <w:iCs/>
                <w:sz w:val="20"/>
                <w:szCs w:val="20"/>
              </w:rPr>
            </w:pPr>
            <w:proofErr w:type="spellStart"/>
            <w:r>
              <w:rPr>
                <w:rFonts w:ascii="Arial" w:hAnsi="Arial" w:cs="Arial"/>
                <w:i/>
                <w:iCs/>
                <w:sz w:val="20"/>
                <w:szCs w:val="20"/>
              </w:rPr>
              <w:t>Mkt</w:t>
            </w:r>
            <w:proofErr w:type="spellEnd"/>
            <w:r>
              <w:rPr>
                <w:rFonts w:ascii="Arial" w:hAnsi="Arial" w:cs="Arial"/>
                <w:i/>
                <w:iCs/>
                <w:sz w:val="20"/>
                <w:szCs w:val="20"/>
              </w:rPr>
              <w:t xml:space="preserve"> share '11</w:t>
            </w:r>
          </w:p>
        </w:tc>
        <w:tc>
          <w:tcPr>
            <w:tcW w:w="1142" w:type="dxa"/>
            <w:gridSpan w:val="2"/>
            <w:tcBorders>
              <w:top w:val="nil"/>
              <w:left w:val="nil"/>
              <w:bottom w:val="nil"/>
              <w:right w:val="nil"/>
            </w:tcBorders>
            <w:noWrap/>
            <w:vAlign w:val="bottom"/>
          </w:tcPr>
          <w:p w:rsidR="00FC71A9" w:rsidRDefault="00FC71A9">
            <w:pPr>
              <w:rPr>
                <w:rFonts w:ascii="Arial" w:hAnsi="Arial" w:cs="Arial"/>
                <w:i/>
                <w:iCs/>
                <w:sz w:val="20"/>
                <w:szCs w:val="20"/>
              </w:rPr>
            </w:pPr>
          </w:p>
        </w:tc>
        <w:tc>
          <w:tcPr>
            <w:tcW w:w="1230" w:type="dxa"/>
            <w:gridSpan w:val="3"/>
            <w:tcBorders>
              <w:top w:val="nil"/>
              <w:left w:val="single" w:sz="4" w:space="0" w:color="auto"/>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55.6%</w:t>
            </w:r>
          </w:p>
        </w:tc>
        <w:tc>
          <w:tcPr>
            <w:tcW w:w="1107" w:type="dxa"/>
            <w:gridSpan w:val="3"/>
            <w:tcBorders>
              <w:top w:val="nil"/>
              <w:left w:val="nil"/>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42.8%</w:t>
            </w:r>
          </w:p>
        </w:tc>
        <w:tc>
          <w:tcPr>
            <w:tcW w:w="852" w:type="dxa"/>
            <w:gridSpan w:val="2"/>
            <w:tcBorders>
              <w:top w:val="nil"/>
              <w:left w:val="nil"/>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1.6%</w:t>
            </w:r>
          </w:p>
        </w:tc>
        <w:tc>
          <w:tcPr>
            <w:tcW w:w="1106" w:type="dxa"/>
            <w:gridSpan w:val="3"/>
            <w:tcBorders>
              <w:top w:val="nil"/>
              <w:left w:val="single" w:sz="4" w:space="0" w:color="auto"/>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40.5%</w:t>
            </w:r>
          </w:p>
        </w:tc>
        <w:tc>
          <w:tcPr>
            <w:tcW w:w="1006" w:type="dxa"/>
            <w:gridSpan w:val="3"/>
            <w:tcBorders>
              <w:top w:val="nil"/>
              <w:left w:val="nil"/>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55.7%</w:t>
            </w:r>
          </w:p>
        </w:tc>
        <w:tc>
          <w:tcPr>
            <w:tcW w:w="1106" w:type="dxa"/>
            <w:tcBorders>
              <w:top w:val="nil"/>
              <w:left w:val="nil"/>
              <w:bottom w:val="nil"/>
              <w:right w:val="single" w:sz="4" w:space="0" w:color="auto"/>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3.8%</w:t>
            </w:r>
          </w:p>
        </w:tc>
      </w:tr>
      <w:tr w:rsidR="00FC71A9" w:rsidTr="00071778">
        <w:trPr>
          <w:trHeight w:val="225"/>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i/>
                <w:iCs/>
                <w:sz w:val="20"/>
                <w:szCs w:val="20"/>
              </w:rPr>
            </w:pPr>
            <w:proofErr w:type="spellStart"/>
            <w:r>
              <w:rPr>
                <w:rFonts w:ascii="Arial" w:hAnsi="Arial" w:cs="Arial"/>
                <w:i/>
                <w:iCs/>
                <w:sz w:val="20"/>
                <w:szCs w:val="20"/>
              </w:rPr>
              <w:t>Mkt</w:t>
            </w:r>
            <w:proofErr w:type="spellEnd"/>
            <w:r>
              <w:rPr>
                <w:rFonts w:ascii="Arial" w:hAnsi="Arial" w:cs="Arial"/>
                <w:i/>
                <w:iCs/>
                <w:sz w:val="20"/>
                <w:szCs w:val="20"/>
              </w:rPr>
              <w:t xml:space="preserve"> share '10</w:t>
            </w:r>
          </w:p>
        </w:tc>
        <w:tc>
          <w:tcPr>
            <w:tcW w:w="1142" w:type="dxa"/>
            <w:gridSpan w:val="2"/>
            <w:tcBorders>
              <w:top w:val="nil"/>
              <w:left w:val="nil"/>
              <w:bottom w:val="nil"/>
              <w:right w:val="nil"/>
            </w:tcBorders>
            <w:noWrap/>
            <w:vAlign w:val="bottom"/>
          </w:tcPr>
          <w:p w:rsidR="00FC71A9" w:rsidRDefault="00FC71A9">
            <w:pPr>
              <w:rPr>
                <w:rFonts w:ascii="Arial" w:hAnsi="Arial" w:cs="Arial"/>
                <w:i/>
                <w:iCs/>
                <w:sz w:val="20"/>
                <w:szCs w:val="20"/>
              </w:rPr>
            </w:pPr>
          </w:p>
        </w:tc>
        <w:tc>
          <w:tcPr>
            <w:tcW w:w="1230" w:type="dxa"/>
            <w:gridSpan w:val="3"/>
            <w:tcBorders>
              <w:top w:val="nil"/>
              <w:left w:val="single" w:sz="4" w:space="0" w:color="auto"/>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53.0%</w:t>
            </w:r>
          </w:p>
        </w:tc>
        <w:tc>
          <w:tcPr>
            <w:tcW w:w="1107" w:type="dxa"/>
            <w:gridSpan w:val="3"/>
            <w:tcBorders>
              <w:top w:val="nil"/>
              <w:left w:val="nil"/>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45.7%</w:t>
            </w:r>
          </w:p>
        </w:tc>
        <w:tc>
          <w:tcPr>
            <w:tcW w:w="852" w:type="dxa"/>
            <w:gridSpan w:val="2"/>
            <w:tcBorders>
              <w:top w:val="nil"/>
              <w:left w:val="nil"/>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1.3%</w:t>
            </w:r>
          </w:p>
        </w:tc>
        <w:tc>
          <w:tcPr>
            <w:tcW w:w="1106" w:type="dxa"/>
            <w:gridSpan w:val="3"/>
            <w:tcBorders>
              <w:top w:val="nil"/>
              <w:left w:val="single" w:sz="4" w:space="0" w:color="auto"/>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46.0%</w:t>
            </w:r>
          </w:p>
        </w:tc>
        <w:tc>
          <w:tcPr>
            <w:tcW w:w="1006" w:type="dxa"/>
            <w:gridSpan w:val="3"/>
            <w:tcBorders>
              <w:top w:val="nil"/>
              <w:left w:val="nil"/>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49.6%</w:t>
            </w:r>
          </w:p>
        </w:tc>
        <w:tc>
          <w:tcPr>
            <w:tcW w:w="1106" w:type="dxa"/>
            <w:tcBorders>
              <w:top w:val="nil"/>
              <w:left w:val="nil"/>
              <w:bottom w:val="nil"/>
              <w:right w:val="single" w:sz="4" w:space="0" w:color="auto"/>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4.3%</w:t>
            </w:r>
          </w:p>
        </w:tc>
      </w:tr>
      <w:tr w:rsidR="00FC71A9" w:rsidTr="00071778">
        <w:trPr>
          <w:trHeight w:val="225"/>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sz w:val="20"/>
                <w:szCs w:val="20"/>
              </w:rPr>
            </w:pPr>
            <w:r>
              <w:rPr>
                <w:rFonts w:ascii="Arial" w:hAnsi="Arial" w:cs="Arial"/>
                <w:sz w:val="20"/>
                <w:szCs w:val="20"/>
              </w:rPr>
              <w:t> </w:t>
            </w:r>
          </w:p>
        </w:tc>
        <w:tc>
          <w:tcPr>
            <w:tcW w:w="1142" w:type="dxa"/>
            <w:gridSpan w:val="2"/>
            <w:tcBorders>
              <w:top w:val="nil"/>
              <w:left w:val="nil"/>
              <w:bottom w:val="nil"/>
              <w:right w:val="nil"/>
            </w:tcBorders>
            <w:noWrap/>
            <w:vAlign w:val="bottom"/>
          </w:tcPr>
          <w:p w:rsidR="00FC71A9" w:rsidRDefault="00FC71A9">
            <w:pPr>
              <w:rPr>
                <w:rFonts w:ascii="Arial" w:hAnsi="Arial" w:cs="Arial"/>
                <w:sz w:val="20"/>
                <w:szCs w:val="20"/>
              </w:rPr>
            </w:pPr>
          </w:p>
        </w:tc>
        <w:tc>
          <w:tcPr>
            <w:tcW w:w="1230"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107"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852" w:type="dxa"/>
            <w:gridSpan w:val="2"/>
            <w:tcBorders>
              <w:top w:val="nil"/>
              <w:left w:val="nil"/>
              <w:bottom w:val="nil"/>
              <w:right w:val="nil"/>
            </w:tcBorders>
            <w:noWrap/>
            <w:vAlign w:val="bottom"/>
          </w:tcPr>
          <w:p w:rsidR="00FC71A9" w:rsidRDefault="00FC71A9">
            <w:pPr>
              <w:rPr>
                <w:rFonts w:ascii="Arial" w:hAnsi="Arial" w:cs="Arial"/>
                <w:sz w:val="20"/>
                <w:szCs w:val="20"/>
              </w:rPr>
            </w:pPr>
          </w:p>
        </w:tc>
        <w:tc>
          <w:tcPr>
            <w:tcW w:w="1106"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006"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106" w:type="dxa"/>
            <w:tcBorders>
              <w:top w:val="nil"/>
              <w:left w:val="nil"/>
              <w:bottom w:val="nil"/>
              <w:right w:val="single" w:sz="4" w:space="0" w:color="auto"/>
            </w:tcBorders>
            <w:noWrap/>
            <w:vAlign w:val="bottom"/>
          </w:tcPr>
          <w:p w:rsidR="00FC71A9" w:rsidRDefault="00FC71A9">
            <w:pPr>
              <w:rPr>
                <w:rFonts w:ascii="Arial" w:hAnsi="Arial" w:cs="Arial"/>
                <w:sz w:val="20"/>
                <w:szCs w:val="20"/>
              </w:rPr>
            </w:pPr>
            <w:r>
              <w:rPr>
                <w:rFonts w:ascii="Arial" w:hAnsi="Arial" w:cs="Arial"/>
                <w:sz w:val="20"/>
                <w:szCs w:val="20"/>
              </w:rPr>
              <w:t> </w:t>
            </w:r>
          </w:p>
        </w:tc>
      </w:tr>
      <w:tr w:rsidR="00FC71A9" w:rsidTr="00071778">
        <w:trPr>
          <w:trHeight w:val="225"/>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b/>
                <w:bCs/>
                <w:color w:val="1074CB"/>
                <w:sz w:val="20"/>
                <w:szCs w:val="20"/>
              </w:rPr>
            </w:pPr>
            <w:r>
              <w:rPr>
                <w:rFonts w:ascii="Arial" w:hAnsi="Arial" w:cs="Arial"/>
                <w:b/>
                <w:bCs/>
                <w:color w:val="1074CB"/>
                <w:sz w:val="20"/>
                <w:szCs w:val="20"/>
              </w:rPr>
              <w:t>Year-to-date</w:t>
            </w:r>
          </w:p>
        </w:tc>
        <w:tc>
          <w:tcPr>
            <w:tcW w:w="1142" w:type="dxa"/>
            <w:gridSpan w:val="2"/>
            <w:tcBorders>
              <w:top w:val="nil"/>
              <w:left w:val="nil"/>
              <w:bottom w:val="nil"/>
              <w:right w:val="nil"/>
            </w:tcBorders>
            <w:noWrap/>
            <w:vAlign w:val="bottom"/>
          </w:tcPr>
          <w:p w:rsidR="00FC71A9" w:rsidRDefault="00FC71A9">
            <w:pPr>
              <w:jc w:val="right"/>
              <w:rPr>
                <w:rFonts w:ascii="Arial" w:hAnsi="Arial" w:cs="Arial"/>
                <w:b/>
                <w:bCs/>
                <w:color w:val="1074CB"/>
                <w:sz w:val="20"/>
                <w:szCs w:val="20"/>
              </w:rPr>
            </w:pPr>
            <w:r>
              <w:rPr>
                <w:rFonts w:ascii="Arial" w:hAnsi="Arial" w:cs="Arial"/>
                <w:b/>
                <w:bCs/>
                <w:color w:val="1074CB"/>
                <w:sz w:val="20"/>
                <w:szCs w:val="20"/>
              </w:rPr>
              <w:t>Total</w:t>
            </w:r>
          </w:p>
        </w:tc>
        <w:tc>
          <w:tcPr>
            <w:tcW w:w="1230" w:type="dxa"/>
            <w:gridSpan w:val="3"/>
            <w:tcBorders>
              <w:top w:val="nil"/>
              <w:left w:val="nil"/>
              <w:bottom w:val="nil"/>
              <w:right w:val="nil"/>
            </w:tcBorders>
            <w:noWrap/>
            <w:vAlign w:val="bottom"/>
          </w:tcPr>
          <w:p w:rsidR="00FC71A9" w:rsidRDefault="00FC71A9">
            <w:pPr>
              <w:jc w:val="right"/>
              <w:rPr>
                <w:rFonts w:ascii="Arial" w:hAnsi="Arial" w:cs="Arial"/>
                <w:b/>
                <w:bCs/>
                <w:color w:val="1074CB"/>
                <w:sz w:val="20"/>
                <w:szCs w:val="20"/>
              </w:rPr>
            </w:pPr>
            <w:r>
              <w:rPr>
                <w:rFonts w:ascii="Arial" w:hAnsi="Arial" w:cs="Arial"/>
                <w:b/>
                <w:bCs/>
                <w:color w:val="1074CB"/>
                <w:sz w:val="20"/>
                <w:szCs w:val="20"/>
              </w:rPr>
              <w:t>Diesel</w:t>
            </w:r>
          </w:p>
        </w:tc>
        <w:tc>
          <w:tcPr>
            <w:tcW w:w="1107" w:type="dxa"/>
            <w:gridSpan w:val="3"/>
            <w:tcBorders>
              <w:top w:val="nil"/>
              <w:left w:val="nil"/>
              <w:bottom w:val="nil"/>
              <w:right w:val="nil"/>
            </w:tcBorders>
            <w:noWrap/>
            <w:vAlign w:val="bottom"/>
          </w:tcPr>
          <w:p w:rsidR="00FC71A9" w:rsidRDefault="00FC71A9">
            <w:pPr>
              <w:jc w:val="right"/>
              <w:rPr>
                <w:rFonts w:ascii="Arial" w:hAnsi="Arial" w:cs="Arial"/>
                <w:b/>
                <w:bCs/>
                <w:color w:val="1074CB"/>
                <w:sz w:val="20"/>
                <w:szCs w:val="20"/>
              </w:rPr>
            </w:pPr>
            <w:r>
              <w:rPr>
                <w:rFonts w:ascii="Arial" w:hAnsi="Arial" w:cs="Arial"/>
                <w:b/>
                <w:bCs/>
                <w:color w:val="1074CB"/>
                <w:sz w:val="20"/>
                <w:szCs w:val="20"/>
              </w:rPr>
              <w:t>Petrol</w:t>
            </w:r>
          </w:p>
        </w:tc>
        <w:tc>
          <w:tcPr>
            <w:tcW w:w="852" w:type="dxa"/>
            <w:gridSpan w:val="2"/>
            <w:tcBorders>
              <w:top w:val="nil"/>
              <w:left w:val="nil"/>
              <w:bottom w:val="nil"/>
              <w:right w:val="nil"/>
            </w:tcBorders>
            <w:noWrap/>
            <w:vAlign w:val="bottom"/>
          </w:tcPr>
          <w:p w:rsidR="00FC71A9" w:rsidRDefault="00FC71A9">
            <w:pPr>
              <w:jc w:val="right"/>
              <w:rPr>
                <w:rFonts w:ascii="Arial" w:hAnsi="Arial" w:cs="Arial"/>
                <w:b/>
                <w:bCs/>
                <w:color w:val="1074CB"/>
                <w:sz w:val="20"/>
                <w:szCs w:val="20"/>
              </w:rPr>
            </w:pPr>
            <w:r>
              <w:rPr>
                <w:rFonts w:ascii="Arial" w:hAnsi="Arial" w:cs="Arial"/>
                <w:b/>
                <w:bCs/>
                <w:color w:val="1074CB"/>
                <w:sz w:val="20"/>
                <w:szCs w:val="20"/>
              </w:rPr>
              <w:t>AFV</w:t>
            </w:r>
          </w:p>
        </w:tc>
        <w:tc>
          <w:tcPr>
            <w:tcW w:w="1106" w:type="dxa"/>
            <w:gridSpan w:val="3"/>
            <w:tcBorders>
              <w:top w:val="nil"/>
              <w:left w:val="nil"/>
              <w:bottom w:val="nil"/>
              <w:right w:val="nil"/>
            </w:tcBorders>
            <w:noWrap/>
            <w:vAlign w:val="bottom"/>
          </w:tcPr>
          <w:p w:rsidR="00FC71A9" w:rsidRDefault="00FC71A9">
            <w:pPr>
              <w:jc w:val="right"/>
              <w:rPr>
                <w:rFonts w:ascii="Arial" w:hAnsi="Arial" w:cs="Arial"/>
                <w:b/>
                <w:bCs/>
                <w:color w:val="1074CB"/>
                <w:sz w:val="20"/>
                <w:szCs w:val="20"/>
              </w:rPr>
            </w:pPr>
            <w:r>
              <w:rPr>
                <w:rFonts w:ascii="Arial" w:hAnsi="Arial" w:cs="Arial"/>
                <w:b/>
                <w:bCs/>
                <w:color w:val="1074CB"/>
                <w:sz w:val="20"/>
                <w:szCs w:val="20"/>
              </w:rPr>
              <w:t>Private</w:t>
            </w:r>
          </w:p>
        </w:tc>
        <w:tc>
          <w:tcPr>
            <w:tcW w:w="1006" w:type="dxa"/>
            <w:gridSpan w:val="3"/>
            <w:tcBorders>
              <w:top w:val="nil"/>
              <w:left w:val="nil"/>
              <w:bottom w:val="nil"/>
              <w:right w:val="nil"/>
            </w:tcBorders>
            <w:noWrap/>
            <w:vAlign w:val="bottom"/>
          </w:tcPr>
          <w:p w:rsidR="00FC71A9" w:rsidRDefault="00FC71A9">
            <w:pPr>
              <w:jc w:val="right"/>
              <w:rPr>
                <w:rFonts w:ascii="Arial" w:hAnsi="Arial" w:cs="Arial"/>
                <w:b/>
                <w:bCs/>
                <w:color w:val="1074CB"/>
                <w:sz w:val="20"/>
                <w:szCs w:val="20"/>
              </w:rPr>
            </w:pPr>
            <w:r>
              <w:rPr>
                <w:rFonts w:ascii="Arial" w:hAnsi="Arial" w:cs="Arial"/>
                <w:b/>
                <w:bCs/>
                <w:color w:val="1074CB"/>
                <w:sz w:val="20"/>
                <w:szCs w:val="20"/>
              </w:rPr>
              <w:t>Fleet</w:t>
            </w:r>
          </w:p>
        </w:tc>
        <w:tc>
          <w:tcPr>
            <w:tcW w:w="1106" w:type="dxa"/>
            <w:tcBorders>
              <w:top w:val="nil"/>
              <w:left w:val="nil"/>
              <w:bottom w:val="nil"/>
              <w:right w:val="single" w:sz="4" w:space="0" w:color="auto"/>
            </w:tcBorders>
            <w:noWrap/>
            <w:vAlign w:val="bottom"/>
          </w:tcPr>
          <w:p w:rsidR="00FC71A9" w:rsidRDefault="00FC71A9">
            <w:pPr>
              <w:jc w:val="right"/>
              <w:rPr>
                <w:rFonts w:ascii="Arial" w:hAnsi="Arial" w:cs="Arial"/>
                <w:b/>
                <w:bCs/>
                <w:color w:val="1074CB"/>
                <w:sz w:val="20"/>
                <w:szCs w:val="20"/>
              </w:rPr>
            </w:pPr>
            <w:r>
              <w:rPr>
                <w:rFonts w:ascii="Arial" w:hAnsi="Arial" w:cs="Arial"/>
                <w:b/>
                <w:bCs/>
                <w:color w:val="1074CB"/>
                <w:sz w:val="20"/>
                <w:szCs w:val="20"/>
              </w:rPr>
              <w:t>Business</w:t>
            </w:r>
          </w:p>
        </w:tc>
      </w:tr>
      <w:tr w:rsidR="00FC71A9" w:rsidRPr="00BC0CED" w:rsidTr="00071778">
        <w:trPr>
          <w:trHeight w:val="111"/>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b/>
                <w:bCs/>
                <w:sz w:val="20"/>
                <w:szCs w:val="20"/>
              </w:rPr>
            </w:pPr>
            <w:r>
              <w:rPr>
                <w:rFonts w:ascii="Arial" w:hAnsi="Arial" w:cs="Arial"/>
                <w:b/>
                <w:bCs/>
                <w:sz w:val="20"/>
                <w:szCs w:val="20"/>
              </w:rPr>
              <w:t> </w:t>
            </w:r>
          </w:p>
        </w:tc>
        <w:tc>
          <w:tcPr>
            <w:tcW w:w="1142" w:type="dxa"/>
            <w:gridSpan w:val="2"/>
            <w:tcBorders>
              <w:top w:val="nil"/>
              <w:left w:val="nil"/>
              <w:bottom w:val="nil"/>
              <w:right w:val="nil"/>
            </w:tcBorders>
            <w:noWrap/>
            <w:vAlign w:val="bottom"/>
          </w:tcPr>
          <w:p w:rsidR="00FC71A9" w:rsidRDefault="00FC71A9">
            <w:pPr>
              <w:rPr>
                <w:rFonts w:ascii="Arial" w:hAnsi="Arial" w:cs="Arial"/>
                <w:sz w:val="20"/>
                <w:szCs w:val="20"/>
              </w:rPr>
            </w:pPr>
          </w:p>
        </w:tc>
        <w:tc>
          <w:tcPr>
            <w:tcW w:w="1230"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107"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852" w:type="dxa"/>
            <w:gridSpan w:val="2"/>
            <w:tcBorders>
              <w:top w:val="nil"/>
              <w:left w:val="nil"/>
              <w:bottom w:val="nil"/>
              <w:right w:val="nil"/>
            </w:tcBorders>
            <w:noWrap/>
            <w:vAlign w:val="bottom"/>
          </w:tcPr>
          <w:p w:rsidR="00FC71A9" w:rsidRDefault="00FC71A9">
            <w:pPr>
              <w:rPr>
                <w:rFonts w:ascii="Arial" w:hAnsi="Arial" w:cs="Arial"/>
                <w:sz w:val="20"/>
                <w:szCs w:val="20"/>
              </w:rPr>
            </w:pPr>
          </w:p>
        </w:tc>
        <w:tc>
          <w:tcPr>
            <w:tcW w:w="1106"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006"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106" w:type="dxa"/>
            <w:tcBorders>
              <w:top w:val="nil"/>
              <w:left w:val="nil"/>
              <w:bottom w:val="nil"/>
              <w:right w:val="single" w:sz="4" w:space="0" w:color="auto"/>
            </w:tcBorders>
            <w:noWrap/>
            <w:vAlign w:val="bottom"/>
          </w:tcPr>
          <w:p w:rsidR="00FC71A9" w:rsidRDefault="00FC71A9">
            <w:pPr>
              <w:rPr>
                <w:rFonts w:ascii="Arial" w:hAnsi="Arial" w:cs="Arial"/>
                <w:sz w:val="20"/>
                <w:szCs w:val="20"/>
              </w:rPr>
            </w:pPr>
            <w:r>
              <w:rPr>
                <w:rFonts w:ascii="Arial" w:hAnsi="Arial" w:cs="Arial"/>
                <w:sz w:val="20"/>
                <w:szCs w:val="20"/>
              </w:rPr>
              <w:t> </w:t>
            </w:r>
          </w:p>
        </w:tc>
      </w:tr>
      <w:tr w:rsidR="00FC71A9" w:rsidTr="00071778">
        <w:trPr>
          <w:trHeight w:val="225"/>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sz w:val="20"/>
                <w:szCs w:val="20"/>
              </w:rPr>
            </w:pPr>
            <w:r>
              <w:rPr>
                <w:rFonts w:ascii="Arial" w:hAnsi="Arial" w:cs="Arial"/>
                <w:sz w:val="20"/>
                <w:szCs w:val="20"/>
              </w:rPr>
              <w:t>2011</w:t>
            </w:r>
          </w:p>
        </w:tc>
        <w:tc>
          <w:tcPr>
            <w:tcW w:w="114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1,822,065</w:t>
            </w:r>
          </w:p>
        </w:tc>
        <w:tc>
          <w:tcPr>
            <w:tcW w:w="1230" w:type="dxa"/>
            <w:gridSpan w:val="3"/>
            <w:tcBorders>
              <w:top w:val="nil"/>
              <w:left w:val="single" w:sz="4" w:space="0" w:color="auto"/>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920,983</w:t>
            </w:r>
          </w:p>
        </w:tc>
        <w:tc>
          <w:tcPr>
            <w:tcW w:w="1107"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877,481</w:t>
            </w:r>
          </w:p>
        </w:tc>
        <w:tc>
          <w:tcPr>
            <w:tcW w:w="85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23,601</w:t>
            </w:r>
          </w:p>
        </w:tc>
        <w:tc>
          <w:tcPr>
            <w:tcW w:w="1106" w:type="dxa"/>
            <w:gridSpan w:val="3"/>
            <w:tcBorders>
              <w:top w:val="nil"/>
              <w:left w:val="single" w:sz="4" w:space="0" w:color="auto"/>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777,792</w:t>
            </w:r>
          </w:p>
        </w:tc>
        <w:tc>
          <w:tcPr>
            <w:tcW w:w="1006"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951,278</w:t>
            </w:r>
          </w:p>
        </w:tc>
        <w:tc>
          <w:tcPr>
            <w:tcW w:w="1106" w:type="dxa"/>
            <w:tcBorders>
              <w:top w:val="nil"/>
              <w:left w:val="nil"/>
              <w:bottom w:val="nil"/>
              <w:right w:val="single" w:sz="4" w:space="0" w:color="auto"/>
            </w:tcBorders>
            <w:noWrap/>
            <w:vAlign w:val="bottom"/>
          </w:tcPr>
          <w:p w:rsidR="00FC71A9" w:rsidRDefault="00FC71A9">
            <w:pPr>
              <w:jc w:val="right"/>
              <w:rPr>
                <w:rFonts w:ascii="Arial" w:hAnsi="Arial" w:cs="Arial"/>
                <w:sz w:val="20"/>
                <w:szCs w:val="20"/>
              </w:rPr>
            </w:pPr>
            <w:r>
              <w:rPr>
                <w:rFonts w:ascii="Arial" w:hAnsi="Arial" w:cs="Arial"/>
                <w:sz w:val="20"/>
                <w:szCs w:val="20"/>
              </w:rPr>
              <w:t>92,995</w:t>
            </w:r>
          </w:p>
        </w:tc>
      </w:tr>
      <w:tr w:rsidR="00FC71A9" w:rsidTr="00071778">
        <w:trPr>
          <w:trHeight w:val="225"/>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sz w:val="20"/>
                <w:szCs w:val="20"/>
              </w:rPr>
            </w:pPr>
            <w:r>
              <w:rPr>
                <w:rFonts w:ascii="Arial" w:hAnsi="Arial" w:cs="Arial"/>
                <w:sz w:val="20"/>
                <w:szCs w:val="20"/>
              </w:rPr>
              <w:t>2010</w:t>
            </w:r>
          </w:p>
        </w:tc>
        <w:tc>
          <w:tcPr>
            <w:tcW w:w="114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1,907,029</w:t>
            </w:r>
          </w:p>
        </w:tc>
        <w:tc>
          <w:tcPr>
            <w:tcW w:w="1230" w:type="dxa"/>
            <w:gridSpan w:val="3"/>
            <w:tcBorders>
              <w:top w:val="nil"/>
              <w:left w:val="single" w:sz="4" w:space="0" w:color="auto"/>
              <w:bottom w:val="nil"/>
              <w:right w:val="nil"/>
            </w:tcBorders>
            <w:noWrap/>
            <w:vAlign w:val="bottom"/>
          </w:tcPr>
          <w:p w:rsidR="00FC71A9" w:rsidRDefault="00C078CE">
            <w:pPr>
              <w:jc w:val="right"/>
              <w:rPr>
                <w:rFonts w:ascii="Arial" w:hAnsi="Arial" w:cs="Arial"/>
                <w:sz w:val="20"/>
                <w:szCs w:val="20"/>
              </w:rPr>
            </w:pPr>
            <w:r>
              <w:rPr>
                <w:rFonts w:ascii="Arial" w:hAnsi="Arial" w:cs="Arial"/>
                <w:sz w:val="20"/>
                <w:szCs w:val="20"/>
              </w:rPr>
              <w:t>873,899</w:t>
            </w:r>
          </w:p>
        </w:tc>
        <w:tc>
          <w:tcPr>
            <w:tcW w:w="1107"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1,011,65</w:t>
            </w:r>
            <w:r w:rsidR="00C078CE">
              <w:rPr>
                <w:rFonts w:ascii="Arial" w:hAnsi="Arial" w:cs="Arial"/>
                <w:sz w:val="20"/>
                <w:szCs w:val="20"/>
              </w:rPr>
              <w:t>7</w:t>
            </w:r>
          </w:p>
        </w:tc>
        <w:tc>
          <w:tcPr>
            <w:tcW w:w="85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21,473</w:t>
            </w:r>
          </w:p>
        </w:tc>
        <w:tc>
          <w:tcPr>
            <w:tcW w:w="1106" w:type="dxa"/>
            <w:gridSpan w:val="3"/>
            <w:tcBorders>
              <w:top w:val="nil"/>
              <w:left w:val="single" w:sz="4" w:space="0" w:color="auto"/>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905,922</w:t>
            </w:r>
          </w:p>
        </w:tc>
        <w:tc>
          <w:tcPr>
            <w:tcW w:w="1006"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909,230</w:t>
            </w:r>
          </w:p>
        </w:tc>
        <w:tc>
          <w:tcPr>
            <w:tcW w:w="1106" w:type="dxa"/>
            <w:tcBorders>
              <w:top w:val="nil"/>
              <w:left w:val="nil"/>
              <w:bottom w:val="nil"/>
              <w:right w:val="single" w:sz="4" w:space="0" w:color="auto"/>
            </w:tcBorders>
            <w:noWrap/>
            <w:vAlign w:val="bottom"/>
          </w:tcPr>
          <w:p w:rsidR="00FC71A9" w:rsidRDefault="00FC71A9">
            <w:pPr>
              <w:jc w:val="right"/>
              <w:rPr>
                <w:rFonts w:ascii="Arial" w:hAnsi="Arial" w:cs="Arial"/>
                <w:sz w:val="20"/>
                <w:szCs w:val="20"/>
              </w:rPr>
            </w:pPr>
            <w:r>
              <w:rPr>
                <w:rFonts w:ascii="Arial" w:hAnsi="Arial" w:cs="Arial"/>
                <w:sz w:val="20"/>
                <w:szCs w:val="20"/>
              </w:rPr>
              <w:t>91,877</w:t>
            </w:r>
          </w:p>
        </w:tc>
      </w:tr>
      <w:tr w:rsidR="00FC71A9" w:rsidTr="00071778">
        <w:trPr>
          <w:trHeight w:val="225"/>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sz w:val="20"/>
                <w:szCs w:val="20"/>
              </w:rPr>
            </w:pPr>
            <w:r>
              <w:rPr>
                <w:rFonts w:ascii="Arial" w:hAnsi="Arial" w:cs="Arial"/>
                <w:sz w:val="20"/>
                <w:szCs w:val="20"/>
              </w:rPr>
              <w:t>% change</w:t>
            </w:r>
          </w:p>
        </w:tc>
        <w:tc>
          <w:tcPr>
            <w:tcW w:w="114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-4.5%</w:t>
            </w:r>
          </w:p>
        </w:tc>
        <w:tc>
          <w:tcPr>
            <w:tcW w:w="1230" w:type="dxa"/>
            <w:gridSpan w:val="3"/>
            <w:tcBorders>
              <w:top w:val="nil"/>
              <w:left w:val="single" w:sz="4" w:space="0" w:color="auto"/>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5.4%</w:t>
            </w:r>
          </w:p>
        </w:tc>
        <w:tc>
          <w:tcPr>
            <w:tcW w:w="1107"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-13.3%</w:t>
            </w:r>
          </w:p>
        </w:tc>
        <w:tc>
          <w:tcPr>
            <w:tcW w:w="852" w:type="dxa"/>
            <w:gridSpan w:val="2"/>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9.9%</w:t>
            </w:r>
          </w:p>
        </w:tc>
        <w:tc>
          <w:tcPr>
            <w:tcW w:w="1106" w:type="dxa"/>
            <w:gridSpan w:val="3"/>
            <w:tcBorders>
              <w:top w:val="nil"/>
              <w:left w:val="single" w:sz="4" w:space="0" w:color="auto"/>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-14.1%</w:t>
            </w:r>
          </w:p>
        </w:tc>
        <w:tc>
          <w:tcPr>
            <w:tcW w:w="1006" w:type="dxa"/>
            <w:gridSpan w:val="3"/>
            <w:tcBorders>
              <w:top w:val="nil"/>
              <w:left w:val="nil"/>
              <w:bottom w:val="nil"/>
              <w:right w:val="nil"/>
            </w:tcBorders>
            <w:noWrap/>
            <w:vAlign w:val="bottom"/>
          </w:tcPr>
          <w:p w:rsidR="00FC71A9" w:rsidRDefault="00FC71A9">
            <w:pPr>
              <w:jc w:val="right"/>
              <w:rPr>
                <w:rFonts w:ascii="Arial" w:hAnsi="Arial" w:cs="Arial"/>
                <w:sz w:val="20"/>
                <w:szCs w:val="20"/>
              </w:rPr>
            </w:pPr>
            <w:r>
              <w:rPr>
                <w:rFonts w:ascii="Arial" w:hAnsi="Arial" w:cs="Arial"/>
                <w:sz w:val="20"/>
                <w:szCs w:val="20"/>
              </w:rPr>
              <w:t>4.6%</w:t>
            </w:r>
          </w:p>
        </w:tc>
        <w:tc>
          <w:tcPr>
            <w:tcW w:w="1106" w:type="dxa"/>
            <w:tcBorders>
              <w:top w:val="nil"/>
              <w:left w:val="nil"/>
              <w:bottom w:val="nil"/>
              <w:right w:val="single" w:sz="4" w:space="0" w:color="auto"/>
            </w:tcBorders>
            <w:noWrap/>
            <w:vAlign w:val="bottom"/>
          </w:tcPr>
          <w:p w:rsidR="00FC71A9" w:rsidRDefault="00FC71A9">
            <w:pPr>
              <w:jc w:val="right"/>
              <w:rPr>
                <w:rFonts w:ascii="Arial" w:hAnsi="Arial" w:cs="Arial"/>
                <w:sz w:val="20"/>
                <w:szCs w:val="20"/>
              </w:rPr>
            </w:pPr>
            <w:r>
              <w:rPr>
                <w:rFonts w:ascii="Arial" w:hAnsi="Arial" w:cs="Arial"/>
                <w:sz w:val="20"/>
                <w:szCs w:val="20"/>
              </w:rPr>
              <w:t>1.2%</w:t>
            </w:r>
          </w:p>
        </w:tc>
      </w:tr>
      <w:tr w:rsidR="00FC71A9" w:rsidTr="00071778">
        <w:trPr>
          <w:trHeight w:val="80"/>
          <w:jc w:val="center"/>
        </w:trPr>
        <w:tc>
          <w:tcPr>
            <w:tcW w:w="1429" w:type="dxa"/>
            <w:gridSpan w:val="3"/>
            <w:tcBorders>
              <w:top w:val="nil"/>
              <w:left w:val="single" w:sz="4" w:space="0" w:color="auto"/>
              <w:bottom w:val="nil"/>
              <w:right w:val="nil"/>
            </w:tcBorders>
            <w:noWrap/>
            <w:vAlign w:val="bottom"/>
          </w:tcPr>
          <w:p w:rsidR="00FC71A9" w:rsidRDefault="00FC71A9">
            <w:pPr>
              <w:rPr>
                <w:rFonts w:ascii="Arial" w:hAnsi="Arial" w:cs="Arial"/>
                <w:i/>
                <w:iCs/>
                <w:sz w:val="20"/>
                <w:szCs w:val="20"/>
              </w:rPr>
            </w:pPr>
            <w:proofErr w:type="spellStart"/>
            <w:r>
              <w:rPr>
                <w:rFonts w:ascii="Arial" w:hAnsi="Arial" w:cs="Arial"/>
                <w:i/>
                <w:iCs/>
                <w:sz w:val="20"/>
                <w:szCs w:val="20"/>
              </w:rPr>
              <w:t>Mkt</w:t>
            </w:r>
            <w:proofErr w:type="spellEnd"/>
            <w:r>
              <w:rPr>
                <w:rFonts w:ascii="Arial" w:hAnsi="Arial" w:cs="Arial"/>
                <w:i/>
                <w:iCs/>
                <w:sz w:val="20"/>
                <w:szCs w:val="20"/>
              </w:rPr>
              <w:t xml:space="preserve"> share '11</w:t>
            </w:r>
          </w:p>
        </w:tc>
        <w:tc>
          <w:tcPr>
            <w:tcW w:w="1142" w:type="dxa"/>
            <w:gridSpan w:val="2"/>
            <w:tcBorders>
              <w:top w:val="nil"/>
              <w:left w:val="nil"/>
              <w:bottom w:val="nil"/>
              <w:right w:val="nil"/>
            </w:tcBorders>
            <w:noWrap/>
            <w:vAlign w:val="bottom"/>
          </w:tcPr>
          <w:p w:rsidR="00FC71A9" w:rsidRDefault="00FC71A9">
            <w:pPr>
              <w:rPr>
                <w:rFonts w:ascii="Arial" w:hAnsi="Arial" w:cs="Arial"/>
                <w:i/>
                <w:iCs/>
                <w:sz w:val="20"/>
                <w:szCs w:val="20"/>
              </w:rPr>
            </w:pPr>
          </w:p>
        </w:tc>
        <w:tc>
          <w:tcPr>
            <w:tcW w:w="1230" w:type="dxa"/>
            <w:gridSpan w:val="3"/>
            <w:tcBorders>
              <w:top w:val="nil"/>
              <w:left w:val="single" w:sz="4" w:space="0" w:color="auto"/>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50.5%</w:t>
            </w:r>
          </w:p>
        </w:tc>
        <w:tc>
          <w:tcPr>
            <w:tcW w:w="1107" w:type="dxa"/>
            <w:gridSpan w:val="3"/>
            <w:tcBorders>
              <w:top w:val="nil"/>
              <w:left w:val="nil"/>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48.2%</w:t>
            </w:r>
          </w:p>
        </w:tc>
        <w:tc>
          <w:tcPr>
            <w:tcW w:w="852" w:type="dxa"/>
            <w:gridSpan w:val="2"/>
            <w:tcBorders>
              <w:top w:val="nil"/>
              <w:left w:val="nil"/>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1.3%</w:t>
            </w:r>
          </w:p>
        </w:tc>
        <w:tc>
          <w:tcPr>
            <w:tcW w:w="1106" w:type="dxa"/>
            <w:gridSpan w:val="3"/>
            <w:tcBorders>
              <w:top w:val="nil"/>
              <w:left w:val="single" w:sz="4" w:space="0" w:color="auto"/>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42.7%</w:t>
            </w:r>
          </w:p>
        </w:tc>
        <w:tc>
          <w:tcPr>
            <w:tcW w:w="1006" w:type="dxa"/>
            <w:gridSpan w:val="3"/>
            <w:tcBorders>
              <w:top w:val="nil"/>
              <w:left w:val="nil"/>
              <w:bottom w:val="nil"/>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52.2%</w:t>
            </w:r>
          </w:p>
        </w:tc>
        <w:tc>
          <w:tcPr>
            <w:tcW w:w="1106" w:type="dxa"/>
            <w:tcBorders>
              <w:top w:val="nil"/>
              <w:left w:val="nil"/>
              <w:bottom w:val="nil"/>
              <w:right w:val="single" w:sz="4" w:space="0" w:color="auto"/>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5.1%</w:t>
            </w:r>
          </w:p>
        </w:tc>
      </w:tr>
      <w:tr w:rsidR="00FC71A9" w:rsidTr="00071778">
        <w:trPr>
          <w:trHeight w:val="225"/>
          <w:jc w:val="center"/>
        </w:trPr>
        <w:tc>
          <w:tcPr>
            <w:tcW w:w="1429" w:type="dxa"/>
            <w:gridSpan w:val="3"/>
            <w:tcBorders>
              <w:top w:val="nil"/>
              <w:left w:val="single" w:sz="4" w:space="0" w:color="auto"/>
              <w:bottom w:val="single" w:sz="4" w:space="0" w:color="auto"/>
              <w:right w:val="nil"/>
            </w:tcBorders>
            <w:noWrap/>
            <w:vAlign w:val="bottom"/>
          </w:tcPr>
          <w:p w:rsidR="00FC71A9" w:rsidRDefault="00FC71A9">
            <w:pPr>
              <w:rPr>
                <w:rFonts w:ascii="Arial" w:hAnsi="Arial" w:cs="Arial"/>
                <w:i/>
                <w:iCs/>
                <w:sz w:val="20"/>
                <w:szCs w:val="20"/>
              </w:rPr>
            </w:pPr>
            <w:proofErr w:type="spellStart"/>
            <w:r>
              <w:rPr>
                <w:rFonts w:ascii="Arial" w:hAnsi="Arial" w:cs="Arial"/>
                <w:i/>
                <w:iCs/>
                <w:sz w:val="20"/>
                <w:szCs w:val="20"/>
              </w:rPr>
              <w:t>Mkt</w:t>
            </w:r>
            <w:proofErr w:type="spellEnd"/>
            <w:r>
              <w:rPr>
                <w:rFonts w:ascii="Arial" w:hAnsi="Arial" w:cs="Arial"/>
                <w:i/>
                <w:iCs/>
                <w:sz w:val="20"/>
                <w:szCs w:val="20"/>
              </w:rPr>
              <w:t xml:space="preserve"> share '10</w:t>
            </w:r>
          </w:p>
        </w:tc>
        <w:tc>
          <w:tcPr>
            <w:tcW w:w="1142" w:type="dxa"/>
            <w:gridSpan w:val="2"/>
            <w:tcBorders>
              <w:top w:val="nil"/>
              <w:left w:val="nil"/>
              <w:bottom w:val="single" w:sz="4" w:space="0" w:color="auto"/>
              <w:right w:val="nil"/>
            </w:tcBorders>
            <w:noWrap/>
            <w:vAlign w:val="bottom"/>
          </w:tcPr>
          <w:p w:rsidR="00FC71A9" w:rsidRDefault="00FC71A9">
            <w:pPr>
              <w:rPr>
                <w:rFonts w:ascii="Arial" w:hAnsi="Arial" w:cs="Arial"/>
                <w:i/>
                <w:iCs/>
                <w:sz w:val="20"/>
                <w:szCs w:val="20"/>
              </w:rPr>
            </w:pPr>
          </w:p>
        </w:tc>
        <w:tc>
          <w:tcPr>
            <w:tcW w:w="1230" w:type="dxa"/>
            <w:gridSpan w:val="3"/>
            <w:tcBorders>
              <w:top w:val="nil"/>
              <w:left w:val="single" w:sz="4" w:space="0" w:color="auto"/>
              <w:bottom w:val="single" w:sz="4" w:space="0" w:color="auto"/>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45.8%</w:t>
            </w:r>
          </w:p>
        </w:tc>
        <w:tc>
          <w:tcPr>
            <w:tcW w:w="1107" w:type="dxa"/>
            <w:gridSpan w:val="3"/>
            <w:tcBorders>
              <w:top w:val="nil"/>
              <w:left w:val="nil"/>
              <w:bottom w:val="single" w:sz="4" w:space="0" w:color="auto"/>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53.0%</w:t>
            </w:r>
          </w:p>
        </w:tc>
        <w:tc>
          <w:tcPr>
            <w:tcW w:w="852" w:type="dxa"/>
            <w:gridSpan w:val="2"/>
            <w:tcBorders>
              <w:top w:val="nil"/>
              <w:left w:val="nil"/>
              <w:bottom w:val="single" w:sz="4" w:space="0" w:color="auto"/>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1.1%</w:t>
            </w:r>
          </w:p>
        </w:tc>
        <w:tc>
          <w:tcPr>
            <w:tcW w:w="1106" w:type="dxa"/>
            <w:gridSpan w:val="3"/>
            <w:tcBorders>
              <w:top w:val="nil"/>
              <w:left w:val="single" w:sz="4" w:space="0" w:color="auto"/>
              <w:bottom w:val="single" w:sz="4" w:space="0" w:color="auto"/>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47.5%</w:t>
            </w:r>
          </w:p>
        </w:tc>
        <w:tc>
          <w:tcPr>
            <w:tcW w:w="1006" w:type="dxa"/>
            <w:gridSpan w:val="3"/>
            <w:tcBorders>
              <w:top w:val="nil"/>
              <w:left w:val="nil"/>
              <w:bottom w:val="single" w:sz="4" w:space="0" w:color="auto"/>
              <w:right w:val="nil"/>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47.7%</w:t>
            </w:r>
          </w:p>
        </w:tc>
        <w:tc>
          <w:tcPr>
            <w:tcW w:w="1106" w:type="dxa"/>
            <w:tcBorders>
              <w:top w:val="nil"/>
              <w:left w:val="nil"/>
              <w:bottom w:val="single" w:sz="4" w:space="0" w:color="auto"/>
              <w:right w:val="single" w:sz="4" w:space="0" w:color="auto"/>
            </w:tcBorders>
            <w:noWrap/>
            <w:vAlign w:val="bottom"/>
          </w:tcPr>
          <w:p w:rsidR="00FC71A9" w:rsidRDefault="00FC71A9">
            <w:pPr>
              <w:jc w:val="right"/>
              <w:rPr>
                <w:rFonts w:ascii="Arial" w:hAnsi="Arial" w:cs="Arial"/>
                <w:i/>
                <w:iCs/>
                <w:sz w:val="20"/>
                <w:szCs w:val="20"/>
              </w:rPr>
            </w:pPr>
            <w:r>
              <w:rPr>
                <w:rFonts w:ascii="Arial" w:hAnsi="Arial" w:cs="Arial"/>
                <w:i/>
                <w:iCs/>
                <w:sz w:val="20"/>
                <w:szCs w:val="20"/>
              </w:rPr>
              <w:t>4.8%</w:t>
            </w:r>
          </w:p>
        </w:tc>
      </w:tr>
      <w:tr w:rsidR="00E916FF" w:rsidTr="00071778">
        <w:trPr>
          <w:trHeight w:val="225"/>
          <w:jc w:val="center"/>
        </w:trPr>
        <w:tc>
          <w:tcPr>
            <w:tcW w:w="1429" w:type="dxa"/>
            <w:gridSpan w:val="3"/>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1142" w:type="dxa"/>
            <w:gridSpan w:val="2"/>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1230" w:type="dxa"/>
            <w:gridSpan w:val="3"/>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p w:rsidR="00E916FF" w:rsidRDefault="00E916FF" w:rsidP="00E0726C">
            <w:pPr>
              <w:rPr>
                <w:rFonts w:ascii="Verdana" w:hAnsi="Verdana" w:cs="Verdana"/>
                <w:sz w:val="2"/>
                <w:szCs w:val="2"/>
              </w:rPr>
            </w:pPr>
          </w:p>
          <w:p w:rsidR="00E916FF" w:rsidRDefault="00E916FF" w:rsidP="00E0726C">
            <w:pPr>
              <w:rPr>
                <w:rFonts w:ascii="Verdana" w:hAnsi="Verdana" w:cs="Verdana"/>
                <w:sz w:val="2"/>
                <w:szCs w:val="2"/>
              </w:rPr>
            </w:pPr>
          </w:p>
          <w:p w:rsidR="00E916FF" w:rsidRDefault="00E916FF" w:rsidP="00E0726C">
            <w:pPr>
              <w:rPr>
                <w:rFonts w:ascii="Verdana" w:hAnsi="Verdana" w:cs="Verdana"/>
                <w:sz w:val="2"/>
                <w:szCs w:val="2"/>
              </w:rPr>
            </w:pPr>
          </w:p>
        </w:tc>
        <w:tc>
          <w:tcPr>
            <w:tcW w:w="1107" w:type="dxa"/>
            <w:gridSpan w:val="3"/>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852" w:type="dxa"/>
            <w:gridSpan w:val="2"/>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1106" w:type="dxa"/>
            <w:gridSpan w:val="3"/>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1006" w:type="dxa"/>
            <w:gridSpan w:val="3"/>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1106" w:type="dxa"/>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r>
      <w:tr w:rsidR="00E916FF" w:rsidTr="00071778">
        <w:trPr>
          <w:trHeight w:val="225"/>
          <w:jc w:val="center"/>
        </w:trPr>
        <w:tc>
          <w:tcPr>
            <w:tcW w:w="1668" w:type="dxa"/>
            <w:gridSpan w:val="4"/>
            <w:tcBorders>
              <w:top w:val="single" w:sz="4" w:space="0" w:color="auto"/>
              <w:left w:val="single" w:sz="4" w:space="0" w:color="auto"/>
              <w:bottom w:val="nil"/>
              <w:right w:val="nil"/>
            </w:tcBorders>
            <w:noWrap/>
            <w:vAlign w:val="bottom"/>
          </w:tcPr>
          <w:p w:rsidR="00E916FF" w:rsidRDefault="006304CD" w:rsidP="006304CD">
            <w:pPr>
              <w:rPr>
                <w:rFonts w:ascii="Arial" w:hAnsi="Arial" w:cs="Arial"/>
                <w:b/>
                <w:bCs/>
                <w:color w:val="1074CB"/>
                <w:sz w:val="20"/>
                <w:szCs w:val="20"/>
              </w:rPr>
            </w:pPr>
            <w:r>
              <w:rPr>
                <w:rFonts w:ascii="Arial" w:hAnsi="Arial" w:cs="Arial"/>
                <w:b/>
                <w:bCs/>
                <w:color w:val="1074CB"/>
                <w:sz w:val="20"/>
                <w:szCs w:val="20"/>
              </w:rPr>
              <w:t>Best sellers</w:t>
            </w:r>
          </w:p>
        </w:tc>
        <w:tc>
          <w:tcPr>
            <w:tcW w:w="1271" w:type="dxa"/>
            <w:gridSpan w:val="3"/>
            <w:tcBorders>
              <w:top w:val="single" w:sz="4" w:space="0" w:color="auto"/>
              <w:left w:val="nil"/>
              <w:bottom w:val="nil"/>
              <w:right w:val="nil"/>
            </w:tcBorders>
            <w:noWrap/>
            <w:vAlign w:val="bottom"/>
          </w:tcPr>
          <w:p w:rsidR="00E916FF" w:rsidRDefault="00250329" w:rsidP="0018557D">
            <w:pPr>
              <w:rPr>
                <w:rFonts w:ascii="Arial" w:hAnsi="Arial" w:cs="Arial"/>
                <w:b/>
                <w:bCs/>
                <w:color w:val="1074CB"/>
                <w:sz w:val="20"/>
                <w:szCs w:val="20"/>
              </w:rPr>
            </w:pPr>
            <w:r>
              <w:rPr>
                <w:rFonts w:ascii="Arial" w:hAnsi="Arial" w:cs="Arial"/>
                <w:b/>
                <w:bCs/>
                <w:color w:val="1074CB"/>
                <w:sz w:val="20"/>
                <w:szCs w:val="20"/>
              </w:rPr>
              <w:t>Novem</w:t>
            </w:r>
            <w:r w:rsidR="00A011CA">
              <w:rPr>
                <w:rFonts w:ascii="Arial" w:hAnsi="Arial" w:cs="Arial"/>
                <w:b/>
                <w:bCs/>
                <w:color w:val="1074CB"/>
                <w:sz w:val="20"/>
                <w:szCs w:val="20"/>
              </w:rPr>
              <w:t>ber</w:t>
            </w:r>
          </w:p>
        </w:tc>
        <w:tc>
          <w:tcPr>
            <w:tcW w:w="1085" w:type="dxa"/>
            <w:gridSpan w:val="3"/>
            <w:tcBorders>
              <w:top w:val="single" w:sz="4" w:space="0" w:color="auto"/>
              <w:left w:val="nil"/>
              <w:bottom w:val="nil"/>
              <w:right w:val="nil"/>
            </w:tcBorders>
            <w:noWrap/>
            <w:vAlign w:val="bottom"/>
          </w:tcPr>
          <w:p w:rsidR="00E916FF" w:rsidRDefault="00E916FF" w:rsidP="00E0726C">
            <w:pPr>
              <w:rPr>
                <w:rFonts w:ascii="Arial" w:hAnsi="Arial" w:cs="Arial"/>
                <w:b/>
                <w:bCs/>
                <w:color w:val="1074CB"/>
                <w:sz w:val="20"/>
                <w:szCs w:val="20"/>
              </w:rPr>
            </w:pPr>
            <w:r>
              <w:rPr>
                <w:rFonts w:ascii="Arial" w:hAnsi="Arial" w:cs="Arial"/>
                <w:b/>
                <w:bCs/>
                <w:color w:val="1074CB"/>
                <w:sz w:val="20"/>
                <w:szCs w:val="20"/>
              </w:rPr>
              <w:t> </w:t>
            </w:r>
          </w:p>
        </w:tc>
        <w:tc>
          <w:tcPr>
            <w:tcW w:w="884" w:type="dxa"/>
            <w:tcBorders>
              <w:top w:val="single" w:sz="4" w:space="0" w:color="auto"/>
              <w:left w:val="nil"/>
              <w:bottom w:val="nil"/>
              <w:right w:val="nil"/>
            </w:tcBorders>
            <w:noWrap/>
            <w:vAlign w:val="bottom"/>
          </w:tcPr>
          <w:p w:rsidR="00E916FF" w:rsidRDefault="00E916FF" w:rsidP="00E0726C">
            <w:pPr>
              <w:rPr>
                <w:rFonts w:ascii="Arial" w:hAnsi="Arial" w:cs="Arial"/>
                <w:b/>
                <w:bCs/>
                <w:color w:val="1074CB"/>
                <w:sz w:val="20"/>
                <w:szCs w:val="20"/>
              </w:rPr>
            </w:pPr>
            <w:r>
              <w:rPr>
                <w:rFonts w:ascii="Arial" w:hAnsi="Arial" w:cs="Arial"/>
                <w:b/>
                <w:bCs/>
                <w:color w:val="1074CB"/>
                <w:sz w:val="20"/>
                <w:szCs w:val="20"/>
              </w:rPr>
              <w:t> </w:t>
            </w:r>
          </w:p>
        </w:tc>
        <w:tc>
          <w:tcPr>
            <w:tcW w:w="1060" w:type="dxa"/>
            <w:gridSpan w:val="3"/>
            <w:tcBorders>
              <w:top w:val="single" w:sz="4" w:space="0" w:color="auto"/>
              <w:left w:val="nil"/>
              <w:bottom w:val="nil"/>
              <w:right w:val="nil"/>
            </w:tcBorders>
            <w:noWrap/>
            <w:vAlign w:val="bottom"/>
          </w:tcPr>
          <w:p w:rsidR="00E916FF" w:rsidRDefault="00E916FF" w:rsidP="00E0726C">
            <w:pPr>
              <w:rPr>
                <w:rFonts w:ascii="Arial" w:hAnsi="Arial" w:cs="Arial"/>
                <w:b/>
                <w:bCs/>
                <w:color w:val="1074CB"/>
                <w:sz w:val="20"/>
                <w:szCs w:val="20"/>
              </w:rPr>
            </w:pPr>
            <w:r>
              <w:rPr>
                <w:rFonts w:ascii="Arial" w:hAnsi="Arial" w:cs="Arial"/>
                <w:b/>
                <w:bCs/>
                <w:color w:val="1074CB"/>
                <w:sz w:val="20"/>
                <w:szCs w:val="20"/>
              </w:rPr>
              <w:t> </w:t>
            </w:r>
          </w:p>
        </w:tc>
        <w:tc>
          <w:tcPr>
            <w:tcW w:w="3010" w:type="dxa"/>
            <w:gridSpan w:val="6"/>
            <w:tcBorders>
              <w:top w:val="single" w:sz="4" w:space="0" w:color="auto"/>
              <w:left w:val="nil"/>
              <w:bottom w:val="nil"/>
              <w:right w:val="single" w:sz="4" w:space="0" w:color="000000"/>
            </w:tcBorders>
            <w:noWrap/>
            <w:vAlign w:val="bottom"/>
          </w:tcPr>
          <w:p w:rsidR="00E916FF" w:rsidRDefault="00DF4D3A" w:rsidP="00DF4D3A">
            <w:pPr>
              <w:rPr>
                <w:rFonts w:ascii="Arial" w:hAnsi="Arial" w:cs="Arial"/>
                <w:b/>
                <w:bCs/>
                <w:color w:val="1074CB"/>
                <w:sz w:val="20"/>
                <w:szCs w:val="20"/>
              </w:rPr>
            </w:pPr>
            <w:r>
              <w:rPr>
                <w:rFonts w:ascii="Arial" w:hAnsi="Arial" w:cs="Arial"/>
                <w:b/>
                <w:bCs/>
                <w:color w:val="1074CB"/>
                <w:sz w:val="20"/>
                <w:szCs w:val="20"/>
              </w:rPr>
              <w:t xml:space="preserve">   </w:t>
            </w:r>
            <w:r w:rsidR="00F74A09">
              <w:rPr>
                <w:rFonts w:ascii="Arial" w:hAnsi="Arial" w:cs="Arial"/>
                <w:b/>
                <w:bCs/>
                <w:color w:val="1074CB"/>
                <w:sz w:val="20"/>
                <w:szCs w:val="20"/>
              </w:rPr>
              <w:t>Y</w:t>
            </w:r>
            <w:r w:rsidR="00BF1888">
              <w:rPr>
                <w:rFonts w:ascii="Arial" w:hAnsi="Arial" w:cs="Arial"/>
                <w:b/>
                <w:bCs/>
                <w:color w:val="1074CB"/>
                <w:sz w:val="20"/>
                <w:szCs w:val="20"/>
              </w:rPr>
              <w:t>ear</w:t>
            </w:r>
            <w:r w:rsidR="00F74A09">
              <w:rPr>
                <w:rFonts w:ascii="Arial" w:hAnsi="Arial" w:cs="Arial"/>
                <w:b/>
                <w:bCs/>
                <w:color w:val="1074CB"/>
                <w:sz w:val="20"/>
                <w:szCs w:val="20"/>
              </w:rPr>
              <w:t>-to-date</w:t>
            </w:r>
          </w:p>
        </w:tc>
      </w:tr>
      <w:tr w:rsidR="00E916FF" w:rsidRPr="00BC0CED" w:rsidTr="00071778">
        <w:trPr>
          <w:trHeight w:val="79"/>
          <w:jc w:val="center"/>
        </w:trPr>
        <w:tc>
          <w:tcPr>
            <w:tcW w:w="390" w:type="dxa"/>
            <w:tcBorders>
              <w:top w:val="nil"/>
              <w:left w:val="single" w:sz="4" w:space="0" w:color="auto"/>
              <w:bottom w:val="nil"/>
              <w:right w:val="nil"/>
            </w:tcBorders>
            <w:noWrap/>
            <w:vAlign w:val="bottom"/>
          </w:tcPr>
          <w:p w:rsidR="00E916FF" w:rsidRPr="00BC0CED" w:rsidRDefault="00E916FF" w:rsidP="00E0726C">
            <w:pPr>
              <w:rPr>
                <w:rFonts w:ascii="Arial" w:hAnsi="Arial" w:cs="Arial"/>
                <w:sz w:val="8"/>
                <w:szCs w:val="8"/>
              </w:rPr>
            </w:pPr>
          </w:p>
        </w:tc>
        <w:tc>
          <w:tcPr>
            <w:tcW w:w="1278" w:type="dxa"/>
            <w:gridSpan w:val="3"/>
            <w:tcBorders>
              <w:top w:val="nil"/>
              <w:left w:val="nil"/>
              <w:bottom w:val="nil"/>
              <w:right w:val="nil"/>
            </w:tcBorders>
            <w:noWrap/>
            <w:vAlign w:val="bottom"/>
          </w:tcPr>
          <w:p w:rsidR="00E916FF" w:rsidRPr="00BC0CED" w:rsidRDefault="00E916FF" w:rsidP="00E0726C">
            <w:pPr>
              <w:rPr>
                <w:rFonts w:ascii="Arial" w:hAnsi="Arial" w:cs="Arial"/>
                <w:sz w:val="8"/>
                <w:szCs w:val="8"/>
              </w:rPr>
            </w:pPr>
          </w:p>
        </w:tc>
        <w:tc>
          <w:tcPr>
            <w:tcW w:w="1271" w:type="dxa"/>
            <w:gridSpan w:val="3"/>
            <w:tcBorders>
              <w:top w:val="nil"/>
              <w:left w:val="nil"/>
              <w:bottom w:val="nil"/>
              <w:right w:val="nil"/>
            </w:tcBorders>
            <w:noWrap/>
            <w:vAlign w:val="bottom"/>
          </w:tcPr>
          <w:p w:rsidR="00E916FF" w:rsidRPr="00BC0CED" w:rsidRDefault="00E916FF" w:rsidP="00E0726C">
            <w:pPr>
              <w:rPr>
                <w:rFonts w:ascii="Arial" w:hAnsi="Arial" w:cs="Arial"/>
                <w:sz w:val="8"/>
                <w:szCs w:val="8"/>
              </w:rPr>
            </w:pPr>
          </w:p>
        </w:tc>
        <w:tc>
          <w:tcPr>
            <w:tcW w:w="1085" w:type="dxa"/>
            <w:gridSpan w:val="3"/>
            <w:tcBorders>
              <w:top w:val="nil"/>
              <w:left w:val="nil"/>
              <w:bottom w:val="nil"/>
              <w:right w:val="nil"/>
            </w:tcBorders>
            <w:noWrap/>
            <w:vAlign w:val="bottom"/>
          </w:tcPr>
          <w:p w:rsidR="00E916FF" w:rsidRPr="00BC0CED" w:rsidRDefault="00E916FF" w:rsidP="00E0726C">
            <w:pPr>
              <w:rPr>
                <w:rFonts w:ascii="Arial" w:hAnsi="Arial" w:cs="Arial"/>
                <w:sz w:val="8"/>
                <w:szCs w:val="8"/>
              </w:rPr>
            </w:pPr>
          </w:p>
        </w:tc>
        <w:tc>
          <w:tcPr>
            <w:tcW w:w="884" w:type="dxa"/>
            <w:tcBorders>
              <w:top w:val="nil"/>
              <w:left w:val="nil"/>
              <w:bottom w:val="nil"/>
              <w:right w:val="nil"/>
            </w:tcBorders>
            <w:noWrap/>
            <w:vAlign w:val="bottom"/>
          </w:tcPr>
          <w:p w:rsidR="00E916FF" w:rsidRPr="00BC0CED" w:rsidRDefault="00E916FF" w:rsidP="00E0726C">
            <w:pPr>
              <w:rPr>
                <w:rFonts w:ascii="Arial" w:hAnsi="Arial" w:cs="Arial"/>
                <w:sz w:val="8"/>
                <w:szCs w:val="8"/>
              </w:rPr>
            </w:pPr>
          </w:p>
        </w:tc>
        <w:tc>
          <w:tcPr>
            <w:tcW w:w="1060" w:type="dxa"/>
            <w:gridSpan w:val="3"/>
            <w:tcBorders>
              <w:top w:val="nil"/>
              <w:left w:val="nil"/>
              <w:bottom w:val="nil"/>
              <w:right w:val="nil"/>
            </w:tcBorders>
            <w:noWrap/>
            <w:vAlign w:val="bottom"/>
          </w:tcPr>
          <w:p w:rsidR="00E916FF" w:rsidRPr="00BC0CED" w:rsidRDefault="00E916FF" w:rsidP="00E0726C">
            <w:pPr>
              <w:rPr>
                <w:rFonts w:ascii="Arial" w:hAnsi="Arial" w:cs="Arial"/>
                <w:b/>
                <w:bCs/>
                <w:sz w:val="8"/>
                <w:szCs w:val="8"/>
              </w:rPr>
            </w:pPr>
          </w:p>
        </w:tc>
        <w:tc>
          <w:tcPr>
            <w:tcW w:w="1179" w:type="dxa"/>
            <w:gridSpan w:val="3"/>
            <w:tcBorders>
              <w:top w:val="nil"/>
              <w:left w:val="nil"/>
              <w:bottom w:val="nil"/>
              <w:right w:val="nil"/>
            </w:tcBorders>
            <w:noWrap/>
            <w:vAlign w:val="bottom"/>
          </w:tcPr>
          <w:p w:rsidR="00E916FF" w:rsidRPr="00BC0CED" w:rsidRDefault="00E916FF" w:rsidP="00E0726C">
            <w:pPr>
              <w:rPr>
                <w:rFonts w:ascii="Arial" w:hAnsi="Arial" w:cs="Arial"/>
                <w:sz w:val="8"/>
                <w:szCs w:val="8"/>
              </w:rPr>
            </w:pPr>
          </w:p>
        </w:tc>
        <w:tc>
          <w:tcPr>
            <w:tcW w:w="1831" w:type="dxa"/>
            <w:gridSpan w:val="3"/>
            <w:tcBorders>
              <w:top w:val="nil"/>
              <w:left w:val="nil"/>
              <w:bottom w:val="nil"/>
              <w:right w:val="single" w:sz="4" w:space="0" w:color="auto"/>
            </w:tcBorders>
            <w:noWrap/>
            <w:vAlign w:val="bottom"/>
          </w:tcPr>
          <w:p w:rsidR="00E916FF" w:rsidRPr="00BC0CED" w:rsidRDefault="00E916FF" w:rsidP="00E0726C">
            <w:pPr>
              <w:rPr>
                <w:rFonts w:ascii="Arial" w:hAnsi="Arial" w:cs="Arial"/>
                <w:sz w:val="8"/>
                <w:szCs w:val="8"/>
              </w:rPr>
            </w:pPr>
            <w:r w:rsidRPr="00BC0CED">
              <w:rPr>
                <w:rFonts w:ascii="Arial" w:hAnsi="Arial" w:cs="Arial"/>
                <w:sz w:val="8"/>
                <w:szCs w:val="8"/>
              </w:rPr>
              <w:t> </w:t>
            </w:r>
          </w:p>
        </w:tc>
      </w:tr>
      <w:tr w:rsidR="00FC71A9" w:rsidTr="00071778">
        <w:trPr>
          <w:trHeight w:val="227"/>
          <w:jc w:val="center"/>
        </w:trPr>
        <w:tc>
          <w:tcPr>
            <w:tcW w:w="535" w:type="dxa"/>
            <w:gridSpan w:val="2"/>
            <w:tcBorders>
              <w:top w:val="nil"/>
              <w:left w:val="single" w:sz="4" w:space="0" w:color="auto"/>
              <w:bottom w:val="nil"/>
              <w:right w:val="nil"/>
            </w:tcBorders>
            <w:noWrap/>
            <w:vAlign w:val="bottom"/>
          </w:tcPr>
          <w:p w:rsidR="00FC71A9" w:rsidRDefault="00FC71A9" w:rsidP="00E0726C">
            <w:pPr>
              <w:rPr>
                <w:rFonts w:ascii="Arial" w:hAnsi="Arial" w:cs="Arial"/>
                <w:sz w:val="20"/>
                <w:szCs w:val="20"/>
              </w:rPr>
            </w:pPr>
          </w:p>
        </w:tc>
        <w:tc>
          <w:tcPr>
            <w:tcW w:w="1133" w:type="dxa"/>
            <w:gridSpan w:val="2"/>
            <w:tcBorders>
              <w:top w:val="nil"/>
              <w:left w:val="nil"/>
              <w:bottom w:val="nil"/>
              <w:right w:val="nil"/>
            </w:tcBorders>
            <w:noWrap/>
            <w:vAlign w:val="bottom"/>
          </w:tcPr>
          <w:p w:rsidR="00FC71A9" w:rsidRDefault="00FC71A9" w:rsidP="007E52B7">
            <w:pPr>
              <w:jc w:val="center"/>
              <w:rPr>
                <w:rFonts w:ascii="Arial" w:hAnsi="Arial" w:cs="Arial"/>
                <w:color w:val="000000"/>
                <w:sz w:val="20"/>
                <w:szCs w:val="20"/>
              </w:rPr>
            </w:pPr>
            <w:r>
              <w:rPr>
                <w:rFonts w:ascii="Arial" w:hAnsi="Arial" w:cs="Arial"/>
                <w:color w:val="000000"/>
                <w:sz w:val="20"/>
                <w:szCs w:val="20"/>
              </w:rPr>
              <w:t>1</w:t>
            </w:r>
          </w:p>
        </w:tc>
        <w:tc>
          <w:tcPr>
            <w:tcW w:w="1218" w:type="dxa"/>
            <w:gridSpan w:val="2"/>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Fiesta</w:t>
            </w:r>
          </w:p>
        </w:tc>
        <w:tc>
          <w:tcPr>
            <w:tcW w:w="1017" w:type="dxa"/>
            <w:gridSpan w:val="3"/>
            <w:tcBorders>
              <w:top w:val="nil"/>
              <w:left w:val="nil"/>
              <w:bottom w:val="nil"/>
              <w:right w:val="nil"/>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6,195</w:t>
            </w:r>
          </w:p>
        </w:tc>
        <w:tc>
          <w:tcPr>
            <w:tcW w:w="1198"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077" w:type="dxa"/>
            <w:gridSpan w:val="3"/>
            <w:tcBorders>
              <w:top w:val="nil"/>
              <w:left w:val="nil"/>
              <w:bottom w:val="nil"/>
              <w:right w:val="nil"/>
            </w:tcBorders>
            <w:noWrap/>
            <w:vAlign w:val="bottom"/>
          </w:tcPr>
          <w:p w:rsidR="00FC71A9" w:rsidRDefault="00FC71A9">
            <w:pPr>
              <w:jc w:val="center"/>
              <w:rPr>
                <w:rFonts w:ascii="Arial" w:hAnsi="Arial" w:cs="Arial"/>
                <w:sz w:val="20"/>
                <w:szCs w:val="20"/>
              </w:rPr>
            </w:pPr>
            <w:r>
              <w:rPr>
                <w:rFonts w:ascii="Arial" w:hAnsi="Arial" w:cs="Arial"/>
                <w:sz w:val="20"/>
                <w:szCs w:val="20"/>
              </w:rPr>
              <w:t>1</w:t>
            </w:r>
          </w:p>
        </w:tc>
        <w:tc>
          <w:tcPr>
            <w:tcW w:w="1019" w:type="dxa"/>
            <w:gridSpan w:val="3"/>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Fiesta</w:t>
            </w:r>
          </w:p>
        </w:tc>
        <w:tc>
          <w:tcPr>
            <w:tcW w:w="1781" w:type="dxa"/>
            <w:gridSpan w:val="2"/>
            <w:tcBorders>
              <w:top w:val="nil"/>
              <w:left w:val="nil"/>
              <w:bottom w:val="nil"/>
              <w:right w:val="single" w:sz="4" w:space="0" w:color="auto"/>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90</w:t>
            </w:r>
            <w:r>
              <w:rPr>
                <w:rFonts w:ascii="Arial" w:hAnsi="Arial" w:cs="Arial"/>
                <w:sz w:val="20"/>
                <w:szCs w:val="20"/>
              </w:rPr>
              <w:t>,</w:t>
            </w:r>
            <w:r w:rsidRPr="00FC71A9">
              <w:rPr>
                <w:rFonts w:ascii="Arial" w:hAnsi="Arial" w:cs="Arial"/>
                <w:sz w:val="20"/>
                <w:szCs w:val="20"/>
              </w:rPr>
              <w:t>701</w:t>
            </w:r>
          </w:p>
        </w:tc>
      </w:tr>
      <w:tr w:rsidR="00FC71A9" w:rsidTr="00071778">
        <w:trPr>
          <w:trHeight w:val="227"/>
          <w:jc w:val="center"/>
        </w:trPr>
        <w:tc>
          <w:tcPr>
            <w:tcW w:w="535" w:type="dxa"/>
            <w:gridSpan w:val="2"/>
            <w:tcBorders>
              <w:top w:val="nil"/>
              <w:left w:val="single" w:sz="4" w:space="0" w:color="auto"/>
              <w:bottom w:val="nil"/>
              <w:right w:val="nil"/>
            </w:tcBorders>
            <w:noWrap/>
            <w:vAlign w:val="bottom"/>
          </w:tcPr>
          <w:p w:rsidR="00FC71A9" w:rsidRDefault="00FC71A9" w:rsidP="00E0726C">
            <w:pPr>
              <w:rPr>
                <w:rFonts w:ascii="Arial" w:hAnsi="Arial" w:cs="Arial"/>
                <w:sz w:val="20"/>
                <w:szCs w:val="20"/>
              </w:rPr>
            </w:pPr>
          </w:p>
        </w:tc>
        <w:tc>
          <w:tcPr>
            <w:tcW w:w="1133" w:type="dxa"/>
            <w:gridSpan w:val="2"/>
            <w:tcBorders>
              <w:top w:val="nil"/>
              <w:left w:val="nil"/>
              <w:bottom w:val="nil"/>
              <w:right w:val="nil"/>
            </w:tcBorders>
            <w:noWrap/>
            <w:vAlign w:val="bottom"/>
          </w:tcPr>
          <w:p w:rsidR="00FC71A9" w:rsidRDefault="00FC71A9" w:rsidP="007E52B7">
            <w:pPr>
              <w:jc w:val="center"/>
              <w:rPr>
                <w:rFonts w:ascii="Arial" w:hAnsi="Arial" w:cs="Arial"/>
                <w:color w:val="000000"/>
                <w:sz w:val="20"/>
                <w:szCs w:val="20"/>
              </w:rPr>
            </w:pPr>
            <w:r>
              <w:rPr>
                <w:rFonts w:ascii="Arial" w:hAnsi="Arial" w:cs="Arial"/>
                <w:color w:val="000000"/>
                <w:sz w:val="20"/>
                <w:szCs w:val="20"/>
              </w:rPr>
              <w:t>2</w:t>
            </w:r>
          </w:p>
        </w:tc>
        <w:tc>
          <w:tcPr>
            <w:tcW w:w="1218" w:type="dxa"/>
            <w:gridSpan w:val="2"/>
            <w:tcBorders>
              <w:top w:val="nil"/>
              <w:left w:val="nil"/>
              <w:bottom w:val="nil"/>
              <w:right w:val="nil"/>
            </w:tcBorders>
            <w:noWrap/>
            <w:vAlign w:val="bottom"/>
          </w:tcPr>
          <w:p w:rsidR="00FC71A9" w:rsidRPr="00FC71A9" w:rsidRDefault="00FC71A9">
            <w:pPr>
              <w:rPr>
                <w:rFonts w:ascii="Arial" w:hAnsi="Arial" w:cs="Arial"/>
                <w:sz w:val="20"/>
                <w:szCs w:val="20"/>
              </w:rPr>
            </w:pPr>
            <w:proofErr w:type="spellStart"/>
            <w:r w:rsidRPr="00FC71A9">
              <w:rPr>
                <w:rFonts w:ascii="Arial" w:hAnsi="Arial" w:cs="Arial"/>
                <w:sz w:val="20"/>
                <w:szCs w:val="20"/>
              </w:rPr>
              <w:t>Corsa</w:t>
            </w:r>
            <w:proofErr w:type="spellEnd"/>
          </w:p>
        </w:tc>
        <w:tc>
          <w:tcPr>
            <w:tcW w:w="1017" w:type="dxa"/>
            <w:gridSpan w:val="3"/>
            <w:tcBorders>
              <w:top w:val="nil"/>
              <w:left w:val="nil"/>
              <w:bottom w:val="nil"/>
              <w:right w:val="nil"/>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5,234</w:t>
            </w:r>
          </w:p>
        </w:tc>
        <w:tc>
          <w:tcPr>
            <w:tcW w:w="1198"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077" w:type="dxa"/>
            <w:gridSpan w:val="3"/>
            <w:tcBorders>
              <w:top w:val="nil"/>
              <w:left w:val="nil"/>
              <w:bottom w:val="nil"/>
              <w:right w:val="nil"/>
            </w:tcBorders>
            <w:noWrap/>
            <w:vAlign w:val="bottom"/>
          </w:tcPr>
          <w:p w:rsidR="00FC71A9" w:rsidRDefault="00FC71A9">
            <w:pPr>
              <w:jc w:val="center"/>
              <w:rPr>
                <w:rFonts w:ascii="Arial" w:hAnsi="Arial" w:cs="Arial"/>
                <w:sz w:val="20"/>
                <w:szCs w:val="20"/>
              </w:rPr>
            </w:pPr>
            <w:r>
              <w:rPr>
                <w:rFonts w:ascii="Arial" w:hAnsi="Arial" w:cs="Arial"/>
                <w:sz w:val="20"/>
                <w:szCs w:val="20"/>
              </w:rPr>
              <w:t>2</w:t>
            </w:r>
          </w:p>
        </w:tc>
        <w:tc>
          <w:tcPr>
            <w:tcW w:w="1019" w:type="dxa"/>
            <w:gridSpan w:val="3"/>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Focus</w:t>
            </w:r>
          </w:p>
        </w:tc>
        <w:tc>
          <w:tcPr>
            <w:tcW w:w="1781" w:type="dxa"/>
            <w:gridSpan w:val="2"/>
            <w:tcBorders>
              <w:top w:val="nil"/>
              <w:left w:val="nil"/>
              <w:bottom w:val="nil"/>
              <w:right w:val="single" w:sz="4" w:space="0" w:color="auto"/>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77</w:t>
            </w:r>
            <w:r>
              <w:rPr>
                <w:rFonts w:ascii="Arial" w:hAnsi="Arial" w:cs="Arial"/>
                <w:sz w:val="20"/>
                <w:szCs w:val="20"/>
              </w:rPr>
              <w:t>,</w:t>
            </w:r>
            <w:r w:rsidRPr="00FC71A9">
              <w:rPr>
                <w:rFonts w:ascii="Arial" w:hAnsi="Arial" w:cs="Arial"/>
                <w:sz w:val="20"/>
                <w:szCs w:val="20"/>
              </w:rPr>
              <w:t>785</w:t>
            </w:r>
          </w:p>
        </w:tc>
      </w:tr>
      <w:tr w:rsidR="00FC71A9" w:rsidTr="00071778">
        <w:trPr>
          <w:trHeight w:val="227"/>
          <w:jc w:val="center"/>
        </w:trPr>
        <w:tc>
          <w:tcPr>
            <w:tcW w:w="535" w:type="dxa"/>
            <w:gridSpan w:val="2"/>
            <w:tcBorders>
              <w:top w:val="nil"/>
              <w:left w:val="single" w:sz="4" w:space="0" w:color="auto"/>
              <w:bottom w:val="nil"/>
              <w:right w:val="nil"/>
            </w:tcBorders>
            <w:noWrap/>
            <w:vAlign w:val="bottom"/>
          </w:tcPr>
          <w:p w:rsidR="00FC71A9" w:rsidRDefault="00FC71A9" w:rsidP="00E0726C">
            <w:pPr>
              <w:rPr>
                <w:rFonts w:ascii="Arial" w:hAnsi="Arial" w:cs="Arial"/>
                <w:sz w:val="20"/>
                <w:szCs w:val="20"/>
              </w:rPr>
            </w:pPr>
          </w:p>
        </w:tc>
        <w:tc>
          <w:tcPr>
            <w:tcW w:w="1133" w:type="dxa"/>
            <w:gridSpan w:val="2"/>
            <w:tcBorders>
              <w:top w:val="nil"/>
              <w:left w:val="nil"/>
              <w:bottom w:val="nil"/>
              <w:right w:val="nil"/>
            </w:tcBorders>
            <w:noWrap/>
            <w:vAlign w:val="bottom"/>
          </w:tcPr>
          <w:p w:rsidR="00FC71A9" w:rsidRDefault="00FC71A9" w:rsidP="007E52B7">
            <w:pPr>
              <w:jc w:val="center"/>
              <w:rPr>
                <w:rFonts w:ascii="Arial" w:hAnsi="Arial" w:cs="Arial"/>
                <w:color w:val="000000"/>
                <w:sz w:val="20"/>
                <w:szCs w:val="20"/>
              </w:rPr>
            </w:pPr>
            <w:r>
              <w:rPr>
                <w:rFonts w:ascii="Arial" w:hAnsi="Arial" w:cs="Arial"/>
                <w:color w:val="000000"/>
                <w:sz w:val="20"/>
                <w:szCs w:val="20"/>
              </w:rPr>
              <w:t>3</w:t>
            </w:r>
          </w:p>
        </w:tc>
        <w:tc>
          <w:tcPr>
            <w:tcW w:w="1218" w:type="dxa"/>
            <w:gridSpan w:val="2"/>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Golf</w:t>
            </w:r>
          </w:p>
        </w:tc>
        <w:tc>
          <w:tcPr>
            <w:tcW w:w="1017" w:type="dxa"/>
            <w:gridSpan w:val="3"/>
            <w:tcBorders>
              <w:top w:val="nil"/>
              <w:left w:val="nil"/>
              <w:bottom w:val="nil"/>
              <w:right w:val="nil"/>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4,924</w:t>
            </w:r>
          </w:p>
        </w:tc>
        <w:tc>
          <w:tcPr>
            <w:tcW w:w="1198"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077" w:type="dxa"/>
            <w:gridSpan w:val="3"/>
            <w:tcBorders>
              <w:top w:val="nil"/>
              <w:left w:val="nil"/>
              <w:bottom w:val="nil"/>
              <w:right w:val="nil"/>
            </w:tcBorders>
            <w:noWrap/>
            <w:vAlign w:val="bottom"/>
          </w:tcPr>
          <w:p w:rsidR="00FC71A9" w:rsidRDefault="00FC71A9">
            <w:pPr>
              <w:jc w:val="center"/>
              <w:rPr>
                <w:rFonts w:ascii="Arial" w:hAnsi="Arial" w:cs="Arial"/>
                <w:sz w:val="20"/>
                <w:szCs w:val="20"/>
              </w:rPr>
            </w:pPr>
            <w:r>
              <w:rPr>
                <w:rFonts w:ascii="Arial" w:hAnsi="Arial" w:cs="Arial"/>
                <w:sz w:val="20"/>
                <w:szCs w:val="20"/>
              </w:rPr>
              <w:t>3</w:t>
            </w:r>
          </w:p>
        </w:tc>
        <w:tc>
          <w:tcPr>
            <w:tcW w:w="1019" w:type="dxa"/>
            <w:gridSpan w:val="3"/>
            <w:tcBorders>
              <w:top w:val="nil"/>
              <w:left w:val="nil"/>
              <w:bottom w:val="nil"/>
              <w:right w:val="nil"/>
            </w:tcBorders>
            <w:noWrap/>
            <w:vAlign w:val="bottom"/>
          </w:tcPr>
          <w:p w:rsidR="00FC71A9" w:rsidRPr="00FC71A9" w:rsidRDefault="00FC71A9">
            <w:pPr>
              <w:rPr>
                <w:rFonts w:ascii="Arial" w:hAnsi="Arial" w:cs="Arial"/>
                <w:sz w:val="20"/>
                <w:szCs w:val="20"/>
              </w:rPr>
            </w:pPr>
            <w:proofErr w:type="spellStart"/>
            <w:r w:rsidRPr="00FC71A9">
              <w:rPr>
                <w:rFonts w:ascii="Arial" w:hAnsi="Arial" w:cs="Arial"/>
                <w:sz w:val="20"/>
                <w:szCs w:val="20"/>
              </w:rPr>
              <w:t>Corsa</w:t>
            </w:r>
            <w:proofErr w:type="spellEnd"/>
          </w:p>
        </w:tc>
        <w:tc>
          <w:tcPr>
            <w:tcW w:w="1781" w:type="dxa"/>
            <w:gridSpan w:val="2"/>
            <w:tcBorders>
              <w:top w:val="nil"/>
              <w:left w:val="nil"/>
              <w:bottom w:val="nil"/>
              <w:right w:val="single" w:sz="4" w:space="0" w:color="auto"/>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72</w:t>
            </w:r>
            <w:r>
              <w:rPr>
                <w:rFonts w:ascii="Arial" w:hAnsi="Arial" w:cs="Arial"/>
                <w:sz w:val="20"/>
                <w:szCs w:val="20"/>
              </w:rPr>
              <w:t>,</w:t>
            </w:r>
            <w:r w:rsidRPr="00FC71A9">
              <w:rPr>
                <w:rFonts w:ascii="Arial" w:hAnsi="Arial" w:cs="Arial"/>
                <w:sz w:val="20"/>
                <w:szCs w:val="20"/>
              </w:rPr>
              <w:t>493</w:t>
            </w:r>
          </w:p>
        </w:tc>
      </w:tr>
      <w:tr w:rsidR="00FC71A9" w:rsidTr="00071778">
        <w:trPr>
          <w:trHeight w:val="227"/>
          <w:jc w:val="center"/>
        </w:trPr>
        <w:tc>
          <w:tcPr>
            <w:tcW w:w="535" w:type="dxa"/>
            <w:gridSpan w:val="2"/>
            <w:tcBorders>
              <w:top w:val="nil"/>
              <w:left w:val="single" w:sz="4" w:space="0" w:color="auto"/>
              <w:bottom w:val="nil"/>
              <w:right w:val="nil"/>
            </w:tcBorders>
            <w:noWrap/>
            <w:vAlign w:val="bottom"/>
          </w:tcPr>
          <w:p w:rsidR="00FC71A9" w:rsidRDefault="00FC71A9" w:rsidP="00E0726C">
            <w:pPr>
              <w:rPr>
                <w:rFonts w:ascii="Arial" w:hAnsi="Arial" w:cs="Arial"/>
                <w:sz w:val="20"/>
                <w:szCs w:val="20"/>
              </w:rPr>
            </w:pPr>
          </w:p>
        </w:tc>
        <w:tc>
          <w:tcPr>
            <w:tcW w:w="1133" w:type="dxa"/>
            <w:gridSpan w:val="2"/>
            <w:tcBorders>
              <w:top w:val="nil"/>
              <w:left w:val="nil"/>
              <w:bottom w:val="nil"/>
              <w:right w:val="nil"/>
            </w:tcBorders>
            <w:noWrap/>
            <w:vAlign w:val="bottom"/>
          </w:tcPr>
          <w:p w:rsidR="00FC71A9" w:rsidRDefault="00FC71A9" w:rsidP="007E52B7">
            <w:pPr>
              <w:jc w:val="center"/>
              <w:rPr>
                <w:rFonts w:ascii="Arial" w:hAnsi="Arial" w:cs="Arial"/>
                <w:color w:val="000000"/>
                <w:sz w:val="20"/>
                <w:szCs w:val="20"/>
              </w:rPr>
            </w:pPr>
            <w:r>
              <w:rPr>
                <w:rFonts w:ascii="Arial" w:hAnsi="Arial" w:cs="Arial"/>
                <w:color w:val="000000"/>
                <w:sz w:val="20"/>
                <w:szCs w:val="20"/>
              </w:rPr>
              <w:t>4</w:t>
            </w:r>
          </w:p>
        </w:tc>
        <w:tc>
          <w:tcPr>
            <w:tcW w:w="1218" w:type="dxa"/>
            <w:gridSpan w:val="2"/>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Focus</w:t>
            </w:r>
          </w:p>
        </w:tc>
        <w:tc>
          <w:tcPr>
            <w:tcW w:w="1017" w:type="dxa"/>
            <w:gridSpan w:val="3"/>
            <w:tcBorders>
              <w:top w:val="nil"/>
              <w:left w:val="nil"/>
              <w:bottom w:val="nil"/>
              <w:right w:val="nil"/>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4,910</w:t>
            </w:r>
          </w:p>
        </w:tc>
        <w:tc>
          <w:tcPr>
            <w:tcW w:w="1198"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077" w:type="dxa"/>
            <w:gridSpan w:val="3"/>
            <w:tcBorders>
              <w:top w:val="nil"/>
              <w:left w:val="nil"/>
              <w:bottom w:val="nil"/>
              <w:right w:val="nil"/>
            </w:tcBorders>
            <w:noWrap/>
            <w:vAlign w:val="bottom"/>
          </w:tcPr>
          <w:p w:rsidR="00FC71A9" w:rsidRDefault="00FC71A9">
            <w:pPr>
              <w:jc w:val="center"/>
              <w:rPr>
                <w:rFonts w:ascii="Arial" w:hAnsi="Arial" w:cs="Arial"/>
                <w:sz w:val="20"/>
                <w:szCs w:val="20"/>
              </w:rPr>
            </w:pPr>
            <w:r>
              <w:rPr>
                <w:rFonts w:ascii="Arial" w:hAnsi="Arial" w:cs="Arial"/>
                <w:sz w:val="20"/>
                <w:szCs w:val="20"/>
              </w:rPr>
              <w:t>4</w:t>
            </w:r>
          </w:p>
        </w:tc>
        <w:tc>
          <w:tcPr>
            <w:tcW w:w="1019" w:type="dxa"/>
            <w:gridSpan w:val="3"/>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Golf</w:t>
            </w:r>
          </w:p>
        </w:tc>
        <w:tc>
          <w:tcPr>
            <w:tcW w:w="1781" w:type="dxa"/>
            <w:gridSpan w:val="2"/>
            <w:tcBorders>
              <w:top w:val="nil"/>
              <w:left w:val="nil"/>
              <w:bottom w:val="nil"/>
              <w:right w:val="single" w:sz="4" w:space="0" w:color="auto"/>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59</w:t>
            </w:r>
            <w:r>
              <w:rPr>
                <w:rFonts w:ascii="Arial" w:hAnsi="Arial" w:cs="Arial"/>
                <w:sz w:val="20"/>
                <w:szCs w:val="20"/>
              </w:rPr>
              <w:t>,</w:t>
            </w:r>
            <w:r w:rsidRPr="00FC71A9">
              <w:rPr>
                <w:rFonts w:ascii="Arial" w:hAnsi="Arial" w:cs="Arial"/>
                <w:sz w:val="20"/>
                <w:szCs w:val="20"/>
              </w:rPr>
              <w:t>337</w:t>
            </w:r>
          </w:p>
        </w:tc>
      </w:tr>
      <w:tr w:rsidR="00FC71A9" w:rsidTr="00071778">
        <w:trPr>
          <w:trHeight w:val="227"/>
          <w:jc w:val="center"/>
        </w:trPr>
        <w:tc>
          <w:tcPr>
            <w:tcW w:w="535" w:type="dxa"/>
            <w:gridSpan w:val="2"/>
            <w:tcBorders>
              <w:top w:val="nil"/>
              <w:left w:val="single" w:sz="4" w:space="0" w:color="auto"/>
              <w:bottom w:val="nil"/>
              <w:right w:val="nil"/>
            </w:tcBorders>
            <w:noWrap/>
            <w:vAlign w:val="bottom"/>
          </w:tcPr>
          <w:p w:rsidR="00FC71A9" w:rsidRDefault="00FC71A9" w:rsidP="00E0726C">
            <w:pPr>
              <w:rPr>
                <w:rFonts w:ascii="Arial" w:hAnsi="Arial" w:cs="Arial"/>
                <w:sz w:val="20"/>
                <w:szCs w:val="20"/>
              </w:rPr>
            </w:pPr>
          </w:p>
        </w:tc>
        <w:tc>
          <w:tcPr>
            <w:tcW w:w="1133" w:type="dxa"/>
            <w:gridSpan w:val="2"/>
            <w:tcBorders>
              <w:top w:val="nil"/>
              <w:left w:val="nil"/>
              <w:bottom w:val="nil"/>
              <w:right w:val="nil"/>
            </w:tcBorders>
            <w:noWrap/>
            <w:vAlign w:val="bottom"/>
          </w:tcPr>
          <w:p w:rsidR="00FC71A9" w:rsidRDefault="00FC71A9" w:rsidP="007E52B7">
            <w:pPr>
              <w:jc w:val="center"/>
              <w:rPr>
                <w:rFonts w:ascii="Arial" w:hAnsi="Arial" w:cs="Arial"/>
                <w:color w:val="000000"/>
                <w:sz w:val="20"/>
                <w:szCs w:val="20"/>
              </w:rPr>
            </w:pPr>
            <w:r>
              <w:rPr>
                <w:rFonts w:ascii="Arial" w:hAnsi="Arial" w:cs="Arial"/>
                <w:color w:val="000000"/>
                <w:sz w:val="20"/>
                <w:szCs w:val="20"/>
              </w:rPr>
              <w:t>5</w:t>
            </w:r>
          </w:p>
        </w:tc>
        <w:tc>
          <w:tcPr>
            <w:tcW w:w="1218" w:type="dxa"/>
            <w:gridSpan w:val="2"/>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Astra</w:t>
            </w:r>
          </w:p>
        </w:tc>
        <w:tc>
          <w:tcPr>
            <w:tcW w:w="1017" w:type="dxa"/>
            <w:gridSpan w:val="3"/>
            <w:tcBorders>
              <w:top w:val="nil"/>
              <w:left w:val="nil"/>
              <w:bottom w:val="nil"/>
              <w:right w:val="nil"/>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4,518</w:t>
            </w:r>
          </w:p>
        </w:tc>
        <w:tc>
          <w:tcPr>
            <w:tcW w:w="1198"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077" w:type="dxa"/>
            <w:gridSpan w:val="3"/>
            <w:tcBorders>
              <w:top w:val="nil"/>
              <w:left w:val="nil"/>
              <w:bottom w:val="nil"/>
              <w:right w:val="nil"/>
            </w:tcBorders>
            <w:noWrap/>
            <w:vAlign w:val="bottom"/>
          </w:tcPr>
          <w:p w:rsidR="00FC71A9" w:rsidRDefault="00FC71A9">
            <w:pPr>
              <w:jc w:val="center"/>
              <w:rPr>
                <w:rFonts w:ascii="Arial" w:hAnsi="Arial" w:cs="Arial"/>
                <w:sz w:val="20"/>
                <w:szCs w:val="20"/>
              </w:rPr>
            </w:pPr>
            <w:r>
              <w:rPr>
                <w:rFonts w:ascii="Arial" w:hAnsi="Arial" w:cs="Arial"/>
                <w:sz w:val="20"/>
                <w:szCs w:val="20"/>
              </w:rPr>
              <w:t>5</w:t>
            </w:r>
          </w:p>
        </w:tc>
        <w:tc>
          <w:tcPr>
            <w:tcW w:w="1019" w:type="dxa"/>
            <w:gridSpan w:val="3"/>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Astra</w:t>
            </w:r>
          </w:p>
        </w:tc>
        <w:tc>
          <w:tcPr>
            <w:tcW w:w="1781" w:type="dxa"/>
            <w:gridSpan w:val="2"/>
            <w:tcBorders>
              <w:top w:val="nil"/>
              <w:left w:val="nil"/>
              <w:bottom w:val="nil"/>
              <w:right w:val="single" w:sz="4" w:space="0" w:color="auto"/>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57</w:t>
            </w:r>
            <w:r>
              <w:rPr>
                <w:rFonts w:ascii="Arial" w:hAnsi="Arial" w:cs="Arial"/>
                <w:sz w:val="20"/>
                <w:szCs w:val="20"/>
              </w:rPr>
              <w:t>,</w:t>
            </w:r>
            <w:r w:rsidRPr="00FC71A9">
              <w:rPr>
                <w:rFonts w:ascii="Arial" w:hAnsi="Arial" w:cs="Arial"/>
                <w:sz w:val="20"/>
                <w:szCs w:val="20"/>
              </w:rPr>
              <w:t>719</w:t>
            </w:r>
          </w:p>
        </w:tc>
      </w:tr>
      <w:tr w:rsidR="00FC71A9" w:rsidTr="00071778">
        <w:trPr>
          <w:trHeight w:val="227"/>
          <w:jc w:val="center"/>
        </w:trPr>
        <w:tc>
          <w:tcPr>
            <w:tcW w:w="535" w:type="dxa"/>
            <w:gridSpan w:val="2"/>
            <w:tcBorders>
              <w:top w:val="nil"/>
              <w:left w:val="single" w:sz="4" w:space="0" w:color="auto"/>
              <w:bottom w:val="nil"/>
              <w:right w:val="nil"/>
            </w:tcBorders>
            <w:noWrap/>
            <w:vAlign w:val="bottom"/>
          </w:tcPr>
          <w:p w:rsidR="00FC71A9" w:rsidRDefault="00FC71A9" w:rsidP="00E0726C">
            <w:pPr>
              <w:rPr>
                <w:rFonts w:ascii="Arial" w:hAnsi="Arial" w:cs="Arial"/>
                <w:sz w:val="20"/>
                <w:szCs w:val="20"/>
              </w:rPr>
            </w:pPr>
          </w:p>
        </w:tc>
        <w:tc>
          <w:tcPr>
            <w:tcW w:w="1133" w:type="dxa"/>
            <w:gridSpan w:val="2"/>
            <w:tcBorders>
              <w:top w:val="nil"/>
              <w:left w:val="nil"/>
              <w:bottom w:val="nil"/>
              <w:right w:val="nil"/>
            </w:tcBorders>
            <w:noWrap/>
            <w:vAlign w:val="bottom"/>
          </w:tcPr>
          <w:p w:rsidR="00FC71A9" w:rsidRDefault="00FC71A9" w:rsidP="007E52B7">
            <w:pPr>
              <w:jc w:val="center"/>
              <w:rPr>
                <w:rFonts w:ascii="Arial" w:hAnsi="Arial" w:cs="Arial"/>
                <w:color w:val="000000"/>
                <w:sz w:val="20"/>
                <w:szCs w:val="20"/>
              </w:rPr>
            </w:pPr>
            <w:r>
              <w:rPr>
                <w:rFonts w:ascii="Arial" w:hAnsi="Arial" w:cs="Arial"/>
                <w:color w:val="000000"/>
                <w:sz w:val="20"/>
                <w:szCs w:val="20"/>
              </w:rPr>
              <w:t>6</w:t>
            </w:r>
          </w:p>
        </w:tc>
        <w:tc>
          <w:tcPr>
            <w:tcW w:w="1218" w:type="dxa"/>
            <w:gridSpan w:val="2"/>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Polo</w:t>
            </w:r>
          </w:p>
        </w:tc>
        <w:tc>
          <w:tcPr>
            <w:tcW w:w="1017" w:type="dxa"/>
            <w:gridSpan w:val="3"/>
            <w:tcBorders>
              <w:top w:val="nil"/>
              <w:left w:val="nil"/>
              <w:bottom w:val="nil"/>
              <w:right w:val="nil"/>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3,306</w:t>
            </w:r>
          </w:p>
        </w:tc>
        <w:tc>
          <w:tcPr>
            <w:tcW w:w="1198"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077" w:type="dxa"/>
            <w:gridSpan w:val="3"/>
            <w:tcBorders>
              <w:top w:val="nil"/>
              <w:left w:val="nil"/>
              <w:bottom w:val="nil"/>
              <w:right w:val="nil"/>
            </w:tcBorders>
            <w:noWrap/>
            <w:vAlign w:val="bottom"/>
          </w:tcPr>
          <w:p w:rsidR="00FC71A9" w:rsidRDefault="00FC71A9">
            <w:pPr>
              <w:jc w:val="center"/>
              <w:rPr>
                <w:rFonts w:ascii="Arial" w:hAnsi="Arial" w:cs="Arial"/>
                <w:sz w:val="20"/>
                <w:szCs w:val="20"/>
              </w:rPr>
            </w:pPr>
            <w:r>
              <w:rPr>
                <w:rFonts w:ascii="Arial" w:hAnsi="Arial" w:cs="Arial"/>
                <w:sz w:val="20"/>
                <w:szCs w:val="20"/>
              </w:rPr>
              <w:t>6</w:t>
            </w:r>
          </w:p>
        </w:tc>
        <w:tc>
          <w:tcPr>
            <w:tcW w:w="1019" w:type="dxa"/>
            <w:gridSpan w:val="3"/>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Insignia</w:t>
            </w:r>
          </w:p>
        </w:tc>
        <w:tc>
          <w:tcPr>
            <w:tcW w:w="1781" w:type="dxa"/>
            <w:gridSpan w:val="2"/>
            <w:tcBorders>
              <w:top w:val="nil"/>
              <w:left w:val="nil"/>
              <w:bottom w:val="nil"/>
              <w:right w:val="single" w:sz="4" w:space="0" w:color="auto"/>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43</w:t>
            </w:r>
            <w:r>
              <w:rPr>
                <w:rFonts w:ascii="Arial" w:hAnsi="Arial" w:cs="Arial"/>
                <w:sz w:val="20"/>
                <w:szCs w:val="20"/>
              </w:rPr>
              <w:t>,</w:t>
            </w:r>
            <w:r w:rsidRPr="00FC71A9">
              <w:rPr>
                <w:rFonts w:ascii="Arial" w:hAnsi="Arial" w:cs="Arial"/>
                <w:sz w:val="20"/>
                <w:szCs w:val="20"/>
              </w:rPr>
              <w:t>830</w:t>
            </w:r>
          </w:p>
        </w:tc>
      </w:tr>
      <w:tr w:rsidR="00FC71A9" w:rsidTr="00071778">
        <w:trPr>
          <w:trHeight w:val="227"/>
          <w:jc w:val="center"/>
        </w:trPr>
        <w:tc>
          <w:tcPr>
            <w:tcW w:w="535" w:type="dxa"/>
            <w:gridSpan w:val="2"/>
            <w:tcBorders>
              <w:top w:val="nil"/>
              <w:left w:val="single" w:sz="4" w:space="0" w:color="auto"/>
              <w:bottom w:val="nil"/>
              <w:right w:val="nil"/>
            </w:tcBorders>
            <w:noWrap/>
            <w:vAlign w:val="bottom"/>
          </w:tcPr>
          <w:p w:rsidR="00FC71A9" w:rsidRDefault="00FC71A9" w:rsidP="00E0726C">
            <w:pPr>
              <w:rPr>
                <w:rFonts w:ascii="Arial" w:hAnsi="Arial" w:cs="Arial"/>
                <w:sz w:val="20"/>
                <w:szCs w:val="20"/>
              </w:rPr>
            </w:pPr>
          </w:p>
        </w:tc>
        <w:tc>
          <w:tcPr>
            <w:tcW w:w="1133" w:type="dxa"/>
            <w:gridSpan w:val="2"/>
            <w:tcBorders>
              <w:top w:val="nil"/>
              <w:left w:val="nil"/>
              <w:bottom w:val="nil"/>
              <w:right w:val="nil"/>
            </w:tcBorders>
            <w:noWrap/>
            <w:vAlign w:val="bottom"/>
          </w:tcPr>
          <w:p w:rsidR="00FC71A9" w:rsidRDefault="00FC71A9" w:rsidP="007E52B7">
            <w:pPr>
              <w:jc w:val="center"/>
              <w:rPr>
                <w:rFonts w:ascii="Arial" w:hAnsi="Arial" w:cs="Arial"/>
                <w:color w:val="000000"/>
                <w:sz w:val="20"/>
                <w:szCs w:val="20"/>
              </w:rPr>
            </w:pPr>
            <w:r>
              <w:rPr>
                <w:rFonts w:ascii="Arial" w:hAnsi="Arial" w:cs="Arial"/>
                <w:color w:val="000000"/>
                <w:sz w:val="20"/>
                <w:szCs w:val="20"/>
              </w:rPr>
              <w:t>7</w:t>
            </w:r>
          </w:p>
        </w:tc>
        <w:tc>
          <w:tcPr>
            <w:tcW w:w="1218" w:type="dxa"/>
            <w:gridSpan w:val="2"/>
            <w:tcBorders>
              <w:top w:val="nil"/>
              <w:left w:val="nil"/>
              <w:bottom w:val="nil"/>
              <w:right w:val="nil"/>
            </w:tcBorders>
            <w:noWrap/>
            <w:vAlign w:val="bottom"/>
          </w:tcPr>
          <w:p w:rsidR="00FC71A9" w:rsidRPr="00FC71A9" w:rsidRDefault="00FC71A9">
            <w:pPr>
              <w:rPr>
                <w:rFonts w:ascii="Arial" w:hAnsi="Arial" w:cs="Arial"/>
                <w:sz w:val="20"/>
                <w:szCs w:val="20"/>
              </w:rPr>
            </w:pPr>
            <w:proofErr w:type="spellStart"/>
            <w:r w:rsidRPr="00FC71A9">
              <w:rPr>
                <w:rFonts w:ascii="Arial" w:hAnsi="Arial" w:cs="Arial"/>
                <w:sz w:val="20"/>
                <w:szCs w:val="20"/>
              </w:rPr>
              <w:t>Qashqai</w:t>
            </w:r>
            <w:proofErr w:type="spellEnd"/>
          </w:p>
        </w:tc>
        <w:tc>
          <w:tcPr>
            <w:tcW w:w="1017" w:type="dxa"/>
            <w:gridSpan w:val="3"/>
            <w:tcBorders>
              <w:top w:val="nil"/>
              <w:left w:val="nil"/>
              <w:bottom w:val="nil"/>
              <w:right w:val="nil"/>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3,274</w:t>
            </w:r>
          </w:p>
        </w:tc>
        <w:tc>
          <w:tcPr>
            <w:tcW w:w="1198"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077" w:type="dxa"/>
            <w:gridSpan w:val="3"/>
            <w:tcBorders>
              <w:top w:val="nil"/>
              <w:left w:val="nil"/>
              <w:bottom w:val="nil"/>
              <w:right w:val="nil"/>
            </w:tcBorders>
            <w:noWrap/>
            <w:vAlign w:val="bottom"/>
          </w:tcPr>
          <w:p w:rsidR="00FC71A9" w:rsidRDefault="00FC71A9">
            <w:pPr>
              <w:jc w:val="center"/>
              <w:rPr>
                <w:rFonts w:ascii="Arial" w:hAnsi="Arial" w:cs="Arial"/>
                <w:sz w:val="20"/>
                <w:szCs w:val="20"/>
              </w:rPr>
            </w:pPr>
            <w:r>
              <w:rPr>
                <w:rFonts w:ascii="Arial" w:hAnsi="Arial" w:cs="Arial"/>
                <w:sz w:val="20"/>
                <w:szCs w:val="20"/>
              </w:rPr>
              <w:t>7</w:t>
            </w:r>
          </w:p>
        </w:tc>
        <w:tc>
          <w:tcPr>
            <w:tcW w:w="1019" w:type="dxa"/>
            <w:gridSpan w:val="3"/>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Polo</w:t>
            </w:r>
          </w:p>
        </w:tc>
        <w:tc>
          <w:tcPr>
            <w:tcW w:w="1781" w:type="dxa"/>
            <w:gridSpan w:val="2"/>
            <w:tcBorders>
              <w:top w:val="nil"/>
              <w:left w:val="nil"/>
              <w:bottom w:val="nil"/>
              <w:right w:val="single" w:sz="4" w:space="0" w:color="auto"/>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43</w:t>
            </w:r>
            <w:r>
              <w:rPr>
                <w:rFonts w:ascii="Arial" w:hAnsi="Arial" w:cs="Arial"/>
                <w:sz w:val="20"/>
                <w:szCs w:val="20"/>
              </w:rPr>
              <w:t>,</w:t>
            </w:r>
            <w:r w:rsidRPr="00FC71A9">
              <w:rPr>
                <w:rFonts w:ascii="Arial" w:hAnsi="Arial" w:cs="Arial"/>
                <w:sz w:val="20"/>
                <w:szCs w:val="20"/>
              </w:rPr>
              <w:t>250</w:t>
            </w:r>
          </w:p>
        </w:tc>
      </w:tr>
      <w:tr w:rsidR="00FC71A9" w:rsidTr="00071778">
        <w:trPr>
          <w:trHeight w:val="227"/>
          <w:jc w:val="center"/>
        </w:trPr>
        <w:tc>
          <w:tcPr>
            <w:tcW w:w="535" w:type="dxa"/>
            <w:gridSpan w:val="2"/>
            <w:tcBorders>
              <w:top w:val="nil"/>
              <w:left w:val="single" w:sz="4" w:space="0" w:color="auto"/>
              <w:bottom w:val="nil"/>
              <w:right w:val="nil"/>
            </w:tcBorders>
            <w:noWrap/>
            <w:vAlign w:val="bottom"/>
          </w:tcPr>
          <w:p w:rsidR="00FC71A9" w:rsidRDefault="00FC71A9" w:rsidP="00E0726C">
            <w:pPr>
              <w:rPr>
                <w:rFonts w:ascii="Arial" w:hAnsi="Arial" w:cs="Arial"/>
                <w:sz w:val="20"/>
                <w:szCs w:val="20"/>
              </w:rPr>
            </w:pPr>
          </w:p>
        </w:tc>
        <w:tc>
          <w:tcPr>
            <w:tcW w:w="1133" w:type="dxa"/>
            <w:gridSpan w:val="2"/>
            <w:tcBorders>
              <w:top w:val="nil"/>
              <w:left w:val="nil"/>
              <w:bottom w:val="nil"/>
              <w:right w:val="nil"/>
            </w:tcBorders>
            <w:noWrap/>
            <w:vAlign w:val="bottom"/>
          </w:tcPr>
          <w:p w:rsidR="00FC71A9" w:rsidRDefault="00FC71A9" w:rsidP="007E52B7">
            <w:pPr>
              <w:jc w:val="center"/>
              <w:rPr>
                <w:rFonts w:ascii="Arial" w:hAnsi="Arial" w:cs="Arial"/>
                <w:color w:val="000000"/>
                <w:sz w:val="20"/>
                <w:szCs w:val="20"/>
              </w:rPr>
            </w:pPr>
            <w:r>
              <w:rPr>
                <w:rFonts w:ascii="Arial" w:hAnsi="Arial" w:cs="Arial"/>
                <w:color w:val="000000"/>
                <w:sz w:val="20"/>
                <w:szCs w:val="20"/>
              </w:rPr>
              <w:t>8</w:t>
            </w:r>
          </w:p>
        </w:tc>
        <w:tc>
          <w:tcPr>
            <w:tcW w:w="1218" w:type="dxa"/>
            <w:gridSpan w:val="2"/>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3 Series</w:t>
            </w:r>
          </w:p>
        </w:tc>
        <w:tc>
          <w:tcPr>
            <w:tcW w:w="1017" w:type="dxa"/>
            <w:gridSpan w:val="3"/>
            <w:tcBorders>
              <w:top w:val="nil"/>
              <w:left w:val="nil"/>
              <w:bottom w:val="nil"/>
              <w:right w:val="nil"/>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2,898</w:t>
            </w:r>
          </w:p>
        </w:tc>
        <w:tc>
          <w:tcPr>
            <w:tcW w:w="1198"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077" w:type="dxa"/>
            <w:gridSpan w:val="3"/>
            <w:tcBorders>
              <w:top w:val="nil"/>
              <w:left w:val="nil"/>
              <w:bottom w:val="nil"/>
              <w:right w:val="nil"/>
            </w:tcBorders>
            <w:noWrap/>
            <w:vAlign w:val="bottom"/>
          </w:tcPr>
          <w:p w:rsidR="00FC71A9" w:rsidRDefault="00FC71A9">
            <w:pPr>
              <w:jc w:val="center"/>
              <w:rPr>
                <w:rFonts w:ascii="Arial" w:hAnsi="Arial" w:cs="Arial"/>
                <w:sz w:val="20"/>
                <w:szCs w:val="20"/>
              </w:rPr>
            </w:pPr>
            <w:r>
              <w:rPr>
                <w:rFonts w:ascii="Arial" w:hAnsi="Arial" w:cs="Arial"/>
                <w:sz w:val="20"/>
                <w:szCs w:val="20"/>
              </w:rPr>
              <w:t>8</w:t>
            </w:r>
          </w:p>
        </w:tc>
        <w:tc>
          <w:tcPr>
            <w:tcW w:w="1019" w:type="dxa"/>
            <w:gridSpan w:val="3"/>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3 Series</w:t>
            </w:r>
          </w:p>
        </w:tc>
        <w:tc>
          <w:tcPr>
            <w:tcW w:w="1781" w:type="dxa"/>
            <w:gridSpan w:val="2"/>
            <w:tcBorders>
              <w:top w:val="nil"/>
              <w:left w:val="nil"/>
              <w:bottom w:val="nil"/>
              <w:right w:val="single" w:sz="4" w:space="0" w:color="auto"/>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40</w:t>
            </w:r>
            <w:r>
              <w:rPr>
                <w:rFonts w:ascii="Arial" w:hAnsi="Arial" w:cs="Arial"/>
                <w:sz w:val="20"/>
                <w:szCs w:val="20"/>
              </w:rPr>
              <w:t>,</w:t>
            </w:r>
            <w:r w:rsidRPr="00FC71A9">
              <w:rPr>
                <w:rFonts w:ascii="Arial" w:hAnsi="Arial" w:cs="Arial"/>
                <w:sz w:val="20"/>
                <w:szCs w:val="20"/>
              </w:rPr>
              <w:t>212</w:t>
            </w:r>
          </w:p>
        </w:tc>
      </w:tr>
      <w:tr w:rsidR="00FC71A9" w:rsidRPr="006304CD" w:rsidTr="00071778">
        <w:trPr>
          <w:trHeight w:val="227"/>
          <w:jc w:val="center"/>
        </w:trPr>
        <w:tc>
          <w:tcPr>
            <w:tcW w:w="535" w:type="dxa"/>
            <w:gridSpan w:val="2"/>
            <w:tcBorders>
              <w:top w:val="nil"/>
              <w:left w:val="single" w:sz="4" w:space="0" w:color="auto"/>
              <w:bottom w:val="nil"/>
              <w:right w:val="nil"/>
            </w:tcBorders>
            <w:noWrap/>
            <w:vAlign w:val="bottom"/>
          </w:tcPr>
          <w:p w:rsidR="00FC71A9" w:rsidRDefault="00FC71A9" w:rsidP="00E0726C">
            <w:pPr>
              <w:rPr>
                <w:rFonts w:ascii="Arial" w:hAnsi="Arial" w:cs="Arial"/>
                <w:sz w:val="20"/>
                <w:szCs w:val="20"/>
              </w:rPr>
            </w:pPr>
          </w:p>
        </w:tc>
        <w:tc>
          <w:tcPr>
            <w:tcW w:w="1133" w:type="dxa"/>
            <w:gridSpan w:val="2"/>
            <w:tcBorders>
              <w:top w:val="nil"/>
              <w:left w:val="nil"/>
              <w:bottom w:val="nil"/>
              <w:right w:val="nil"/>
            </w:tcBorders>
            <w:noWrap/>
            <w:vAlign w:val="bottom"/>
          </w:tcPr>
          <w:p w:rsidR="00FC71A9" w:rsidRDefault="00FC71A9" w:rsidP="007E52B7">
            <w:pPr>
              <w:jc w:val="center"/>
              <w:rPr>
                <w:rFonts w:ascii="Arial" w:hAnsi="Arial" w:cs="Arial"/>
                <w:color w:val="000000"/>
                <w:sz w:val="20"/>
                <w:szCs w:val="20"/>
              </w:rPr>
            </w:pPr>
            <w:r>
              <w:rPr>
                <w:rFonts w:ascii="Arial" w:hAnsi="Arial" w:cs="Arial"/>
                <w:color w:val="000000"/>
                <w:sz w:val="20"/>
                <w:szCs w:val="20"/>
              </w:rPr>
              <w:t>9</w:t>
            </w:r>
          </w:p>
        </w:tc>
        <w:tc>
          <w:tcPr>
            <w:tcW w:w="1218" w:type="dxa"/>
            <w:gridSpan w:val="2"/>
            <w:tcBorders>
              <w:top w:val="nil"/>
              <w:left w:val="nil"/>
              <w:bottom w:val="nil"/>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MINI</w:t>
            </w:r>
          </w:p>
        </w:tc>
        <w:tc>
          <w:tcPr>
            <w:tcW w:w="1017" w:type="dxa"/>
            <w:gridSpan w:val="3"/>
            <w:tcBorders>
              <w:top w:val="nil"/>
              <w:left w:val="nil"/>
              <w:bottom w:val="nil"/>
              <w:right w:val="nil"/>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2,834</w:t>
            </w:r>
          </w:p>
        </w:tc>
        <w:tc>
          <w:tcPr>
            <w:tcW w:w="1198" w:type="dxa"/>
            <w:gridSpan w:val="3"/>
            <w:tcBorders>
              <w:top w:val="nil"/>
              <w:left w:val="nil"/>
              <w:bottom w:val="nil"/>
              <w:right w:val="nil"/>
            </w:tcBorders>
            <w:noWrap/>
            <w:vAlign w:val="bottom"/>
          </w:tcPr>
          <w:p w:rsidR="00FC71A9" w:rsidRDefault="00FC71A9">
            <w:pPr>
              <w:rPr>
                <w:rFonts w:ascii="Arial" w:hAnsi="Arial" w:cs="Arial"/>
                <w:sz w:val="20"/>
                <w:szCs w:val="20"/>
              </w:rPr>
            </w:pPr>
          </w:p>
        </w:tc>
        <w:tc>
          <w:tcPr>
            <w:tcW w:w="1077" w:type="dxa"/>
            <w:gridSpan w:val="3"/>
            <w:tcBorders>
              <w:top w:val="nil"/>
              <w:left w:val="nil"/>
              <w:bottom w:val="nil"/>
              <w:right w:val="nil"/>
            </w:tcBorders>
            <w:noWrap/>
            <w:vAlign w:val="bottom"/>
          </w:tcPr>
          <w:p w:rsidR="00FC71A9" w:rsidRDefault="00FC71A9">
            <w:pPr>
              <w:jc w:val="center"/>
              <w:rPr>
                <w:rFonts w:ascii="Arial" w:hAnsi="Arial" w:cs="Arial"/>
                <w:sz w:val="20"/>
                <w:szCs w:val="20"/>
              </w:rPr>
            </w:pPr>
            <w:r>
              <w:rPr>
                <w:rFonts w:ascii="Arial" w:hAnsi="Arial" w:cs="Arial"/>
                <w:sz w:val="20"/>
                <w:szCs w:val="20"/>
              </w:rPr>
              <w:t>9</w:t>
            </w:r>
          </w:p>
        </w:tc>
        <w:tc>
          <w:tcPr>
            <w:tcW w:w="1019" w:type="dxa"/>
            <w:gridSpan w:val="3"/>
            <w:tcBorders>
              <w:top w:val="nil"/>
              <w:left w:val="nil"/>
              <w:bottom w:val="nil"/>
              <w:right w:val="nil"/>
            </w:tcBorders>
            <w:noWrap/>
            <w:vAlign w:val="bottom"/>
          </w:tcPr>
          <w:p w:rsidR="00FC71A9" w:rsidRPr="00FC71A9" w:rsidRDefault="00FC71A9">
            <w:pPr>
              <w:rPr>
                <w:rFonts w:ascii="Arial" w:hAnsi="Arial" w:cs="Arial"/>
                <w:sz w:val="20"/>
                <w:szCs w:val="20"/>
              </w:rPr>
            </w:pPr>
            <w:proofErr w:type="spellStart"/>
            <w:r w:rsidRPr="00FC71A9">
              <w:rPr>
                <w:rFonts w:ascii="Arial" w:hAnsi="Arial" w:cs="Arial"/>
                <w:sz w:val="20"/>
                <w:szCs w:val="20"/>
              </w:rPr>
              <w:t>Qashqai</w:t>
            </w:r>
            <w:proofErr w:type="spellEnd"/>
          </w:p>
        </w:tc>
        <w:tc>
          <w:tcPr>
            <w:tcW w:w="1781" w:type="dxa"/>
            <w:gridSpan w:val="2"/>
            <w:tcBorders>
              <w:top w:val="nil"/>
              <w:left w:val="nil"/>
              <w:bottom w:val="nil"/>
              <w:right w:val="single" w:sz="4" w:space="0" w:color="auto"/>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36</w:t>
            </w:r>
            <w:r>
              <w:rPr>
                <w:rFonts w:ascii="Arial" w:hAnsi="Arial" w:cs="Arial"/>
                <w:sz w:val="20"/>
                <w:szCs w:val="20"/>
              </w:rPr>
              <w:t>,</w:t>
            </w:r>
            <w:r w:rsidRPr="00FC71A9">
              <w:rPr>
                <w:rFonts w:ascii="Arial" w:hAnsi="Arial" w:cs="Arial"/>
                <w:sz w:val="20"/>
                <w:szCs w:val="20"/>
              </w:rPr>
              <w:t>826</w:t>
            </w:r>
          </w:p>
        </w:tc>
      </w:tr>
      <w:tr w:rsidR="00FC71A9" w:rsidTr="00071778">
        <w:trPr>
          <w:trHeight w:val="227"/>
          <w:jc w:val="center"/>
        </w:trPr>
        <w:tc>
          <w:tcPr>
            <w:tcW w:w="535" w:type="dxa"/>
            <w:gridSpan w:val="2"/>
            <w:tcBorders>
              <w:top w:val="nil"/>
              <w:left w:val="single" w:sz="4" w:space="0" w:color="auto"/>
              <w:bottom w:val="single" w:sz="4" w:space="0" w:color="auto"/>
              <w:right w:val="nil"/>
            </w:tcBorders>
            <w:noWrap/>
            <w:vAlign w:val="bottom"/>
          </w:tcPr>
          <w:p w:rsidR="00FC71A9" w:rsidRDefault="00FC71A9" w:rsidP="00E0726C">
            <w:pPr>
              <w:rPr>
                <w:rFonts w:ascii="Arial" w:hAnsi="Arial" w:cs="Arial"/>
                <w:sz w:val="20"/>
                <w:szCs w:val="20"/>
              </w:rPr>
            </w:pPr>
          </w:p>
        </w:tc>
        <w:tc>
          <w:tcPr>
            <w:tcW w:w="1133" w:type="dxa"/>
            <w:gridSpan w:val="2"/>
            <w:tcBorders>
              <w:top w:val="nil"/>
              <w:left w:val="nil"/>
              <w:bottom w:val="single" w:sz="4" w:space="0" w:color="auto"/>
              <w:right w:val="nil"/>
            </w:tcBorders>
            <w:noWrap/>
            <w:vAlign w:val="bottom"/>
          </w:tcPr>
          <w:p w:rsidR="00FC71A9" w:rsidRDefault="00FC71A9" w:rsidP="007E52B7">
            <w:pPr>
              <w:jc w:val="center"/>
              <w:rPr>
                <w:rFonts w:ascii="Arial" w:hAnsi="Arial" w:cs="Arial"/>
                <w:color w:val="000000"/>
                <w:sz w:val="20"/>
                <w:szCs w:val="20"/>
              </w:rPr>
            </w:pPr>
            <w:r>
              <w:rPr>
                <w:rFonts w:ascii="Arial" w:hAnsi="Arial" w:cs="Arial"/>
                <w:color w:val="000000"/>
                <w:sz w:val="20"/>
                <w:szCs w:val="20"/>
              </w:rPr>
              <w:t>10</w:t>
            </w:r>
          </w:p>
        </w:tc>
        <w:tc>
          <w:tcPr>
            <w:tcW w:w="1218" w:type="dxa"/>
            <w:gridSpan w:val="2"/>
            <w:tcBorders>
              <w:top w:val="nil"/>
              <w:left w:val="nil"/>
              <w:bottom w:val="single" w:sz="4" w:space="0" w:color="auto"/>
              <w:right w:val="nil"/>
            </w:tcBorders>
            <w:noWrap/>
            <w:vAlign w:val="bottom"/>
          </w:tcPr>
          <w:p w:rsidR="00FC71A9" w:rsidRPr="00FC71A9" w:rsidRDefault="00E06BDA">
            <w:pPr>
              <w:rPr>
                <w:rFonts w:ascii="Arial" w:hAnsi="Arial" w:cs="Arial"/>
                <w:sz w:val="20"/>
                <w:szCs w:val="20"/>
              </w:rPr>
            </w:pPr>
            <w:r>
              <w:rPr>
                <w:rFonts w:ascii="Arial" w:hAnsi="Arial" w:cs="Arial"/>
                <w:sz w:val="20"/>
                <w:szCs w:val="20"/>
              </w:rPr>
              <w:t>C-</w:t>
            </w:r>
            <w:r w:rsidR="00FC71A9" w:rsidRPr="00FC71A9">
              <w:rPr>
                <w:rFonts w:ascii="Arial" w:hAnsi="Arial" w:cs="Arial"/>
                <w:sz w:val="20"/>
                <w:szCs w:val="20"/>
              </w:rPr>
              <w:t>Class</w:t>
            </w:r>
          </w:p>
        </w:tc>
        <w:tc>
          <w:tcPr>
            <w:tcW w:w="1017" w:type="dxa"/>
            <w:gridSpan w:val="3"/>
            <w:tcBorders>
              <w:top w:val="nil"/>
              <w:left w:val="nil"/>
              <w:bottom w:val="single" w:sz="4" w:space="0" w:color="auto"/>
              <w:right w:val="nil"/>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2,540</w:t>
            </w:r>
          </w:p>
        </w:tc>
        <w:tc>
          <w:tcPr>
            <w:tcW w:w="1198" w:type="dxa"/>
            <w:gridSpan w:val="3"/>
            <w:tcBorders>
              <w:top w:val="nil"/>
              <w:left w:val="nil"/>
              <w:bottom w:val="single" w:sz="4" w:space="0" w:color="auto"/>
              <w:right w:val="nil"/>
            </w:tcBorders>
            <w:noWrap/>
            <w:vAlign w:val="bottom"/>
          </w:tcPr>
          <w:p w:rsidR="00FC71A9" w:rsidRDefault="00FC71A9">
            <w:pPr>
              <w:rPr>
                <w:rFonts w:ascii="Arial" w:hAnsi="Arial" w:cs="Arial"/>
                <w:sz w:val="20"/>
                <w:szCs w:val="20"/>
              </w:rPr>
            </w:pPr>
            <w:r>
              <w:rPr>
                <w:rFonts w:ascii="Arial" w:hAnsi="Arial" w:cs="Arial"/>
                <w:sz w:val="20"/>
                <w:szCs w:val="20"/>
              </w:rPr>
              <w:t> </w:t>
            </w:r>
          </w:p>
        </w:tc>
        <w:tc>
          <w:tcPr>
            <w:tcW w:w="1077" w:type="dxa"/>
            <w:gridSpan w:val="3"/>
            <w:tcBorders>
              <w:top w:val="nil"/>
              <w:left w:val="nil"/>
              <w:bottom w:val="single" w:sz="4" w:space="0" w:color="auto"/>
              <w:right w:val="nil"/>
            </w:tcBorders>
            <w:noWrap/>
            <w:vAlign w:val="bottom"/>
          </w:tcPr>
          <w:p w:rsidR="00FC71A9" w:rsidRDefault="00FC71A9">
            <w:pPr>
              <w:jc w:val="center"/>
              <w:rPr>
                <w:rFonts w:ascii="Arial" w:hAnsi="Arial" w:cs="Arial"/>
                <w:sz w:val="20"/>
                <w:szCs w:val="20"/>
              </w:rPr>
            </w:pPr>
            <w:r>
              <w:rPr>
                <w:rFonts w:ascii="Arial" w:hAnsi="Arial" w:cs="Arial"/>
                <w:sz w:val="20"/>
                <w:szCs w:val="20"/>
              </w:rPr>
              <w:t>10</w:t>
            </w:r>
          </w:p>
        </w:tc>
        <w:tc>
          <w:tcPr>
            <w:tcW w:w="1019" w:type="dxa"/>
            <w:gridSpan w:val="3"/>
            <w:tcBorders>
              <w:top w:val="nil"/>
              <w:left w:val="nil"/>
              <w:bottom w:val="single" w:sz="4" w:space="0" w:color="auto"/>
              <w:right w:val="nil"/>
            </w:tcBorders>
            <w:noWrap/>
            <w:vAlign w:val="bottom"/>
          </w:tcPr>
          <w:p w:rsidR="00FC71A9" w:rsidRPr="00FC71A9" w:rsidRDefault="00FC71A9">
            <w:pPr>
              <w:rPr>
                <w:rFonts w:ascii="Arial" w:hAnsi="Arial" w:cs="Arial"/>
                <w:sz w:val="20"/>
                <w:szCs w:val="20"/>
              </w:rPr>
            </w:pPr>
            <w:r w:rsidRPr="00FC71A9">
              <w:rPr>
                <w:rFonts w:ascii="Arial" w:hAnsi="Arial" w:cs="Arial"/>
                <w:sz w:val="20"/>
                <w:szCs w:val="20"/>
              </w:rPr>
              <w:t>M</w:t>
            </w:r>
            <w:r w:rsidR="00C078CE">
              <w:rPr>
                <w:rFonts w:ascii="Arial" w:hAnsi="Arial" w:cs="Arial"/>
                <w:sz w:val="20"/>
                <w:szCs w:val="20"/>
              </w:rPr>
              <w:t>INI</w:t>
            </w:r>
          </w:p>
        </w:tc>
        <w:tc>
          <w:tcPr>
            <w:tcW w:w="1781" w:type="dxa"/>
            <w:gridSpan w:val="2"/>
            <w:tcBorders>
              <w:top w:val="nil"/>
              <w:left w:val="nil"/>
              <w:bottom w:val="single" w:sz="4" w:space="0" w:color="auto"/>
              <w:right w:val="single" w:sz="4" w:space="0" w:color="auto"/>
            </w:tcBorders>
            <w:noWrap/>
            <w:vAlign w:val="bottom"/>
          </w:tcPr>
          <w:p w:rsidR="00FC71A9" w:rsidRPr="00FC71A9" w:rsidRDefault="00FC71A9">
            <w:pPr>
              <w:jc w:val="right"/>
              <w:rPr>
                <w:rFonts w:ascii="Arial" w:hAnsi="Arial" w:cs="Arial"/>
                <w:sz w:val="20"/>
                <w:szCs w:val="20"/>
              </w:rPr>
            </w:pPr>
            <w:r w:rsidRPr="00FC71A9">
              <w:rPr>
                <w:rFonts w:ascii="Arial" w:hAnsi="Arial" w:cs="Arial"/>
                <w:sz w:val="20"/>
                <w:szCs w:val="20"/>
              </w:rPr>
              <w:t>33</w:t>
            </w:r>
            <w:r>
              <w:rPr>
                <w:rFonts w:ascii="Arial" w:hAnsi="Arial" w:cs="Arial"/>
                <w:sz w:val="20"/>
                <w:szCs w:val="20"/>
              </w:rPr>
              <w:t>,</w:t>
            </w:r>
            <w:r w:rsidRPr="00FC71A9">
              <w:rPr>
                <w:rFonts w:ascii="Arial" w:hAnsi="Arial" w:cs="Arial"/>
                <w:sz w:val="20"/>
                <w:szCs w:val="20"/>
              </w:rPr>
              <w:t>139</w:t>
            </w:r>
          </w:p>
        </w:tc>
      </w:tr>
    </w:tbl>
    <w:p w:rsidR="00E916FF" w:rsidRDefault="00E916FF" w:rsidP="00E916FF">
      <w:pPr>
        <w:pStyle w:val="BodyText3"/>
        <w:rPr>
          <w:rFonts w:ascii="Arial" w:hAnsi="Arial" w:cs="Arial"/>
          <w:b/>
          <w:bCs/>
          <w:color w:val="1074CB"/>
        </w:rPr>
      </w:pPr>
    </w:p>
    <w:p w:rsidR="006D3CEB" w:rsidRDefault="00324817" w:rsidP="00A02A69">
      <w:pPr>
        <w:spacing w:line="276" w:lineRule="auto"/>
        <w:ind w:right="141"/>
        <w:outlineLvl w:val="0"/>
        <w:rPr>
          <w:rFonts w:ascii="Arial" w:hAnsi="Arial" w:cs="Arial"/>
          <w:b/>
          <w:bCs/>
          <w:sz w:val="20"/>
          <w:szCs w:val="20"/>
        </w:rPr>
      </w:pPr>
      <w:r>
        <w:rPr>
          <w:rFonts w:ascii="Arial" w:hAnsi="Arial" w:cs="Arial"/>
          <w:b/>
          <w:bCs/>
          <w:sz w:val="20"/>
          <w:szCs w:val="20"/>
        </w:rPr>
        <w:t>Market beats expectations in November, but concerns over outlook heighten after Autumn Statement</w:t>
      </w:r>
    </w:p>
    <w:p w:rsidR="00324817" w:rsidRDefault="00324817" w:rsidP="00A02A69">
      <w:pPr>
        <w:numPr>
          <w:ilvl w:val="0"/>
          <w:numId w:val="3"/>
        </w:numPr>
        <w:spacing w:line="276" w:lineRule="auto"/>
        <w:ind w:right="141"/>
        <w:rPr>
          <w:rFonts w:ascii="Arial" w:hAnsi="Arial" w:cs="Arial"/>
          <w:sz w:val="20"/>
          <w:szCs w:val="20"/>
        </w:rPr>
      </w:pPr>
      <w:r>
        <w:rPr>
          <w:rFonts w:ascii="Arial" w:hAnsi="Arial" w:cs="Arial"/>
          <w:sz w:val="20"/>
          <w:szCs w:val="20"/>
        </w:rPr>
        <w:t>N</w:t>
      </w:r>
      <w:r w:rsidR="00D768A9">
        <w:rPr>
          <w:rFonts w:ascii="Arial" w:hAnsi="Arial" w:cs="Arial"/>
          <w:sz w:val="20"/>
          <w:szCs w:val="20"/>
        </w:rPr>
        <w:t xml:space="preserve">ew car registrations </w:t>
      </w:r>
      <w:r w:rsidR="007C2406">
        <w:rPr>
          <w:rFonts w:ascii="Arial" w:hAnsi="Arial" w:cs="Arial"/>
          <w:sz w:val="20"/>
          <w:szCs w:val="20"/>
        </w:rPr>
        <w:t>were just 0.9</w:t>
      </w:r>
      <w:r>
        <w:rPr>
          <w:rFonts w:ascii="Arial" w:hAnsi="Arial" w:cs="Arial"/>
          <w:sz w:val="20"/>
          <w:szCs w:val="20"/>
        </w:rPr>
        <w:t>% lower than a year ago in the last three months, and volumes over the past six months were also only down a modest 1.8%. However, the market continues to trend some 20% below pre-recession levels.</w:t>
      </w:r>
    </w:p>
    <w:p w:rsidR="00324817" w:rsidRDefault="00324817" w:rsidP="00324817">
      <w:pPr>
        <w:spacing w:line="276" w:lineRule="auto"/>
        <w:ind w:left="360" w:right="141"/>
        <w:rPr>
          <w:rFonts w:ascii="Arial" w:hAnsi="Arial" w:cs="Arial"/>
          <w:sz w:val="20"/>
          <w:szCs w:val="20"/>
        </w:rPr>
      </w:pPr>
    </w:p>
    <w:p w:rsidR="00023CAF" w:rsidRDefault="008B4045" w:rsidP="00A02A69">
      <w:pPr>
        <w:numPr>
          <w:ilvl w:val="0"/>
          <w:numId w:val="3"/>
        </w:numPr>
        <w:spacing w:line="276" w:lineRule="auto"/>
        <w:ind w:right="141"/>
        <w:rPr>
          <w:rFonts w:ascii="Arial" w:hAnsi="Arial" w:cs="Arial"/>
          <w:sz w:val="20"/>
          <w:szCs w:val="20"/>
        </w:rPr>
      </w:pPr>
      <w:r>
        <w:rPr>
          <w:rFonts w:ascii="Arial" w:hAnsi="Arial" w:cs="Arial"/>
          <w:sz w:val="20"/>
          <w:szCs w:val="20"/>
        </w:rPr>
        <w:t>Market</w:t>
      </w:r>
      <w:r w:rsidR="00324817">
        <w:rPr>
          <w:rFonts w:ascii="Arial" w:hAnsi="Arial" w:cs="Arial"/>
          <w:sz w:val="20"/>
          <w:szCs w:val="20"/>
        </w:rPr>
        <w:t xml:space="preserve"> stability in recent months is at odds with growing concerns over the economic setting</w:t>
      </w:r>
      <w:r w:rsidR="00E06BDA">
        <w:rPr>
          <w:rFonts w:ascii="Arial" w:hAnsi="Arial" w:cs="Arial"/>
          <w:sz w:val="20"/>
          <w:szCs w:val="20"/>
        </w:rPr>
        <w:t>. W</w:t>
      </w:r>
      <w:r w:rsidR="00324817">
        <w:rPr>
          <w:rFonts w:ascii="Arial" w:hAnsi="Arial" w:cs="Arial"/>
          <w:sz w:val="20"/>
          <w:szCs w:val="20"/>
        </w:rPr>
        <w:t xml:space="preserve">hilst the Autumn Statement announced some welcome measures to stimulate growth, the latest forecasts for the UK economy and concerns over the </w:t>
      </w:r>
      <w:proofErr w:type="spellStart"/>
      <w:r w:rsidR="00324817">
        <w:rPr>
          <w:rFonts w:ascii="Arial" w:hAnsi="Arial" w:cs="Arial"/>
          <w:sz w:val="20"/>
          <w:szCs w:val="20"/>
        </w:rPr>
        <w:t>Eurozone</w:t>
      </w:r>
      <w:proofErr w:type="spellEnd"/>
      <w:r w:rsidR="00324817">
        <w:rPr>
          <w:rFonts w:ascii="Arial" w:hAnsi="Arial" w:cs="Arial"/>
          <w:sz w:val="20"/>
          <w:szCs w:val="20"/>
        </w:rPr>
        <w:t xml:space="preserve"> </w:t>
      </w:r>
      <w:r w:rsidR="00023CAF">
        <w:rPr>
          <w:rFonts w:ascii="Arial" w:hAnsi="Arial" w:cs="Arial"/>
          <w:sz w:val="20"/>
          <w:szCs w:val="20"/>
        </w:rPr>
        <w:t xml:space="preserve">are unsettling. </w:t>
      </w:r>
    </w:p>
    <w:p w:rsidR="008C2BCE" w:rsidRDefault="008C2BCE" w:rsidP="008C2BCE">
      <w:pPr>
        <w:pStyle w:val="ListParagraph"/>
        <w:rPr>
          <w:rFonts w:ascii="Arial" w:hAnsi="Arial" w:cs="Arial"/>
          <w:sz w:val="20"/>
          <w:szCs w:val="20"/>
        </w:rPr>
      </w:pPr>
    </w:p>
    <w:p w:rsidR="008C2BCE" w:rsidRDefault="008C2BCE" w:rsidP="008C2BCE">
      <w:pPr>
        <w:numPr>
          <w:ilvl w:val="0"/>
          <w:numId w:val="3"/>
        </w:numPr>
        <w:spacing w:line="276" w:lineRule="auto"/>
        <w:ind w:right="141"/>
        <w:rPr>
          <w:rFonts w:ascii="Arial" w:hAnsi="Arial" w:cs="Arial"/>
          <w:sz w:val="20"/>
          <w:szCs w:val="20"/>
        </w:rPr>
      </w:pPr>
      <w:r>
        <w:rPr>
          <w:rFonts w:ascii="Arial" w:hAnsi="Arial" w:cs="Arial"/>
          <w:sz w:val="20"/>
          <w:szCs w:val="20"/>
        </w:rPr>
        <w:t xml:space="preserve">The market continues to be supported by growth in the fleet market and </w:t>
      </w:r>
      <w:r w:rsidR="0056678E">
        <w:rPr>
          <w:rFonts w:ascii="Arial" w:hAnsi="Arial" w:cs="Arial"/>
          <w:sz w:val="20"/>
          <w:szCs w:val="20"/>
        </w:rPr>
        <w:t>customer</w:t>
      </w:r>
      <w:r>
        <w:rPr>
          <w:rFonts w:ascii="Arial" w:hAnsi="Arial" w:cs="Arial"/>
          <w:sz w:val="20"/>
          <w:szCs w:val="20"/>
        </w:rPr>
        <w:t xml:space="preserve"> incentives.</w:t>
      </w:r>
    </w:p>
    <w:p w:rsidR="008C2BCE" w:rsidRDefault="008C2BCE" w:rsidP="008C2BCE">
      <w:pPr>
        <w:pStyle w:val="ListParagraph"/>
        <w:rPr>
          <w:rFonts w:ascii="Arial" w:hAnsi="Arial" w:cs="Arial"/>
          <w:sz w:val="20"/>
          <w:szCs w:val="20"/>
        </w:rPr>
      </w:pPr>
    </w:p>
    <w:p w:rsidR="00023CAF" w:rsidRDefault="00023CAF" w:rsidP="00A02A69">
      <w:pPr>
        <w:numPr>
          <w:ilvl w:val="0"/>
          <w:numId w:val="3"/>
        </w:numPr>
        <w:spacing w:line="276" w:lineRule="auto"/>
        <w:ind w:right="141"/>
        <w:rPr>
          <w:rFonts w:ascii="Arial" w:hAnsi="Arial" w:cs="Arial"/>
          <w:sz w:val="20"/>
          <w:szCs w:val="20"/>
        </w:rPr>
      </w:pPr>
      <w:r>
        <w:rPr>
          <w:rFonts w:ascii="Arial" w:hAnsi="Arial" w:cs="Arial"/>
          <w:sz w:val="20"/>
          <w:szCs w:val="20"/>
        </w:rPr>
        <w:t>SMMT’s full year 2011 forecast, as set in September, was 1.923 million units</w:t>
      </w:r>
      <w:r w:rsidR="002876CD">
        <w:rPr>
          <w:rFonts w:ascii="Arial" w:hAnsi="Arial" w:cs="Arial"/>
          <w:sz w:val="20"/>
          <w:szCs w:val="20"/>
        </w:rPr>
        <w:t>.</w:t>
      </w:r>
      <w:r>
        <w:rPr>
          <w:rFonts w:ascii="Arial" w:hAnsi="Arial" w:cs="Arial"/>
          <w:sz w:val="20"/>
          <w:szCs w:val="20"/>
        </w:rPr>
        <w:t xml:space="preserve"> The mar</w:t>
      </w:r>
      <w:r w:rsidR="002B3946">
        <w:rPr>
          <w:rFonts w:ascii="Arial" w:hAnsi="Arial" w:cs="Arial"/>
          <w:sz w:val="20"/>
          <w:szCs w:val="20"/>
        </w:rPr>
        <w:t xml:space="preserve">ket looks set to better this, ending close to </w:t>
      </w:r>
      <w:r>
        <w:rPr>
          <w:rFonts w:ascii="Arial" w:hAnsi="Arial" w:cs="Arial"/>
          <w:sz w:val="20"/>
          <w:szCs w:val="20"/>
        </w:rPr>
        <w:t>1.94 million units, after the</w:t>
      </w:r>
      <w:r w:rsidR="00E60EAF">
        <w:rPr>
          <w:rFonts w:ascii="Arial" w:hAnsi="Arial" w:cs="Arial"/>
          <w:sz w:val="20"/>
          <w:szCs w:val="20"/>
        </w:rPr>
        <w:t xml:space="preserve"> </w:t>
      </w:r>
      <w:r>
        <w:rPr>
          <w:rFonts w:ascii="Arial" w:hAnsi="Arial" w:cs="Arial"/>
          <w:sz w:val="20"/>
          <w:szCs w:val="20"/>
        </w:rPr>
        <w:t xml:space="preserve">market </w:t>
      </w:r>
      <w:r w:rsidR="00E60EAF">
        <w:rPr>
          <w:rFonts w:ascii="Arial" w:hAnsi="Arial" w:cs="Arial"/>
          <w:sz w:val="20"/>
          <w:szCs w:val="20"/>
        </w:rPr>
        <w:t xml:space="preserve">has </w:t>
      </w:r>
      <w:r w:rsidR="00583657">
        <w:rPr>
          <w:rFonts w:ascii="Arial" w:hAnsi="Arial" w:cs="Arial"/>
          <w:sz w:val="20"/>
          <w:szCs w:val="20"/>
        </w:rPr>
        <w:t xml:space="preserve">once again </w:t>
      </w:r>
      <w:r w:rsidR="00C078CE">
        <w:rPr>
          <w:rFonts w:ascii="Arial" w:hAnsi="Arial" w:cs="Arial"/>
          <w:sz w:val="20"/>
          <w:szCs w:val="20"/>
        </w:rPr>
        <w:t>exceeded</w:t>
      </w:r>
      <w:r>
        <w:rPr>
          <w:rFonts w:ascii="Arial" w:hAnsi="Arial" w:cs="Arial"/>
          <w:sz w:val="20"/>
          <w:szCs w:val="20"/>
        </w:rPr>
        <w:t xml:space="preserve"> expectation</w:t>
      </w:r>
      <w:r w:rsidR="0083437D">
        <w:rPr>
          <w:rFonts w:ascii="Arial" w:hAnsi="Arial" w:cs="Arial"/>
          <w:sz w:val="20"/>
          <w:szCs w:val="20"/>
        </w:rPr>
        <w:t>s</w:t>
      </w:r>
      <w:r w:rsidR="00583657">
        <w:rPr>
          <w:rFonts w:ascii="Arial" w:hAnsi="Arial" w:cs="Arial"/>
          <w:sz w:val="20"/>
          <w:szCs w:val="20"/>
        </w:rPr>
        <w:t xml:space="preserve"> last</w:t>
      </w:r>
      <w:r w:rsidR="00E60EAF">
        <w:rPr>
          <w:rFonts w:ascii="Arial" w:hAnsi="Arial" w:cs="Arial"/>
          <w:sz w:val="20"/>
          <w:szCs w:val="20"/>
        </w:rPr>
        <w:t xml:space="preserve"> month. </w:t>
      </w:r>
    </w:p>
    <w:p w:rsidR="00023CAF" w:rsidRDefault="00023CAF" w:rsidP="00023CAF">
      <w:pPr>
        <w:pStyle w:val="ListParagraph"/>
        <w:rPr>
          <w:rFonts w:ascii="Arial" w:hAnsi="Arial" w:cs="Arial"/>
          <w:sz w:val="20"/>
          <w:szCs w:val="20"/>
        </w:rPr>
      </w:pPr>
    </w:p>
    <w:p w:rsidR="00023CAF" w:rsidRDefault="00023CAF" w:rsidP="00A02A69">
      <w:pPr>
        <w:numPr>
          <w:ilvl w:val="0"/>
          <w:numId w:val="3"/>
        </w:numPr>
        <w:spacing w:line="276" w:lineRule="auto"/>
        <w:ind w:right="141"/>
        <w:rPr>
          <w:rFonts w:ascii="Arial" w:hAnsi="Arial" w:cs="Arial"/>
          <w:sz w:val="20"/>
          <w:szCs w:val="20"/>
        </w:rPr>
      </w:pPr>
      <w:r>
        <w:rPr>
          <w:rFonts w:ascii="Arial" w:hAnsi="Arial" w:cs="Arial"/>
          <w:sz w:val="20"/>
          <w:szCs w:val="20"/>
        </w:rPr>
        <w:t>Registrations in November at 13</w:t>
      </w:r>
      <w:r w:rsidR="00FC71A9">
        <w:rPr>
          <w:rFonts w:ascii="Arial" w:hAnsi="Arial" w:cs="Arial"/>
          <w:sz w:val="20"/>
          <w:szCs w:val="20"/>
        </w:rPr>
        <w:t>4</w:t>
      </w:r>
      <w:r w:rsidR="007C2406">
        <w:rPr>
          <w:rFonts w:ascii="Arial" w:hAnsi="Arial" w:cs="Arial"/>
          <w:sz w:val="20"/>
          <w:szCs w:val="20"/>
        </w:rPr>
        <w:t>,</w:t>
      </w:r>
      <w:r>
        <w:rPr>
          <w:rFonts w:ascii="Arial" w:hAnsi="Arial" w:cs="Arial"/>
          <w:sz w:val="20"/>
          <w:szCs w:val="20"/>
        </w:rPr>
        <w:t>0</w:t>
      </w:r>
      <w:r w:rsidR="00FC71A9">
        <w:rPr>
          <w:rFonts w:ascii="Arial" w:hAnsi="Arial" w:cs="Arial"/>
          <w:sz w:val="20"/>
          <w:szCs w:val="20"/>
        </w:rPr>
        <w:t>27</w:t>
      </w:r>
      <w:r>
        <w:rPr>
          <w:rFonts w:ascii="Arial" w:hAnsi="Arial" w:cs="Arial"/>
          <w:sz w:val="20"/>
          <w:szCs w:val="20"/>
        </w:rPr>
        <w:t xml:space="preserve"> units were down 4.</w:t>
      </w:r>
      <w:r w:rsidR="00FC71A9">
        <w:rPr>
          <w:rFonts w:ascii="Arial" w:hAnsi="Arial" w:cs="Arial"/>
          <w:sz w:val="20"/>
          <w:szCs w:val="20"/>
        </w:rPr>
        <w:t>2</w:t>
      </w:r>
      <w:r>
        <w:rPr>
          <w:rFonts w:ascii="Arial" w:hAnsi="Arial" w:cs="Arial"/>
          <w:sz w:val="20"/>
          <w:szCs w:val="20"/>
        </w:rPr>
        <w:t xml:space="preserve">%. This marked the ninth decline this year, although registrations were up in both August and October. </w:t>
      </w:r>
    </w:p>
    <w:p w:rsidR="00023CAF" w:rsidRDefault="00023CAF" w:rsidP="00023CAF">
      <w:pPr>
        <w:pStyle w:val="ListParagraph"/>
        <w:rPr>
          <w:rFonts w:ascii="Arial" w:hAnsi="Arial" w:cs="Arial"/>
          <w:sz w:val="20"/>
          <w:szCs w:val="20"/>
        </w:rPr>
      </w:pPr>
    </w:p>
    <w:p w:rsidR="005B052D" w:rsidRDefault="002B3946" w:rsidP="00A02A69">
      <w:pPr>
        <w:numPr>
          <w:ilvl w:val="0"/>
          <w:numId w:val="3"/>
        </w:numPr>
        <w:spacing w:line="276" w:lineRule="auto"/>
        <w:ind w:right="141"/>
        <w:rPr>
          <w:rFonts w:ascii="Arial" w:hAnsi="Arial" w:cs="Arial"/>
          <w:sz w:val="20"/>
          <w:szCs w:val="20"/>
        </w:rPr>
      </w:pPr>
      <w:r>
        <w:rPr>
          <w:rFonts w:ascii="Arial" w:hAnsi="Arial" w:cs="Arial"/>
          <w:sz w:val="20"/>
          <w:szCs w:val="20"/>
        </w:rPr>
        <w:t>Supported by the fleet market and consumers investing in industry’s most efficient products, d</w:t>
      </w:r>
      <w:r w:rsidR="005B052D">
        <w:rPr>
          <w:rFonts w:ascii="Arial" w:hAnsi="Arial" w:cs="Arial"/>
          <w:sz w:val="20"/>
          <w:szCs w:val="20"/>
        </w:rPr>
        <w:t xml:space="preserve">iesel cars </w:t>
      </w:r>
      <w:r w:rsidR="00153DBF">
        <w:rPr>
          <w:rFonts w:ascii="Arial" w:hAnsi="Arial" w:cs="Arial"/>
          <w:sz w:val="20"/>
          <w:szCs w:val="20"/>
        </w:rPr>
        <w:t>achieved</w:t>
      </w:r>
      <w:r w:rsidR="005B052D">
        <w:rPr>
          <w:rFonts w:ascii="Arial" w:hAnsi="Arial" w:cs="Arial"/>
          <w:sz w:val="20"/>
          <w:szCs w:val="20"/>
        </w:rPr>
        <w:t xml:space="preserve"> a record 55.</w:t>
      </w:r>
      <w:r w:rsidR="007C2406">
        <w:rPr>
          <w:rFonts w:ascii="Arial" w:hAnsi="Arial" w:cs="Arial"/>
          <w:sz w:val="20"/>
          <w:szCs w:val="20"/>
        </w:rPr>
        <w:t>6</w:t>
      </w:r>
      <w:r w:rsidR="005B052D">
        <w:rPr>
          <w:rFonts w:ascii="Arial" w:hAnsi="Arial" w:cs="Arial"/>
          <w:sz w:val="20"/>
          <w:szCs w:val="20"/>
        </w:rPr>
        <w:t>% share of the market in</w:t>
      </w:r>
      <w:r>
        <w:rPr>
          <w:rFonts w:ascii="Arial" w:hAnsi="Arial" w:cs="Arial"/>
          <w:sz w:val="20"/>
          <w:szCs w:val="20"/>
        </w:rPr>
        <w:t xml:space="preserve"> November, whilst alternatively-</w:t>
      </w:r>
      <w:r w:rsidR="005B052D">
        <w:rPr>
          <w:rFonts w:ascii="Arial" w:hAnsi="Arial" w:cs="Arial"/>
          <w:sz w:val="20"/>
          <w:szCs w:val="20"/>
        </w:rPr>
        <w:t xml:space="preserve">fuelled cars </w:t>
      </w:r>
      <w:r>
        <w:rPr>
          <w:rFonts w:ascii="Arial" w:hAnsi="Arial" w:cs="Arial"/>
          <w:sz w:val="20"/>
          <w:szCs w:val="20"/>
        </w:rPr>
        <w:t>took a record 1.6% market share</w:t>
      </w:r>
      <w:r w:rsidR="005B052D">
        <w:rPr>
          <w:rFonts w:ascii="Arial" w:hAnsi="Arial" w:cs="Arial"/>
          <w:sz w:val="20"/>
          <w:szCs w:val="20"/>
        </w:rPr>
        <w:t xml:space="preserve">. </w:t>
      </w:r>
    </w:p>
    <w:p w:rsidR="005B052D" w:rsidRDefault="005B052D" w:rsidP="005B052D">
      <w:pPr>
        <w:pStyle w:val="ListParagraph"/>
        <w:rPr>
          <w:rFonts w:ascii="Arial" w:hAnsi="Arial" w:cs="Arial"/>
          <w:sz w:val="20"/>
          <w:szCs w:val="20"/>
        </w:rPr>
      </w:pPr>
    </w:p>
    <w:p w:rsidR="00D7400D" w:rsidRPr="005B052D" w:rsidRDefault="005B052D" w:rsidP="00A02A69">
      <w:pPr>
        <w:numPr>
          <w:ilvl w:val="0"/>
          <w:numId w:val="3"/>
        </w:numPr>
        <w:spacing w:line="276" w:lineRule="auto"/>
        <w:ind w:right="141"/>
        <w:rPr>
          <w:rFonts w:ascii="Arial" w:hAnsi="Arial" w:cs="Arial"/>
          <w:sz w:val="20"/>
          <w:szCs w:val="20"/>
        </w:rPr>
      </w:pPr>
      <w:r w:rsidRPr="005B052D">
        <w:rPr>
          <w:rFonts w:ascii="Arial" w:hAnsi="Arial" w:cs="Arial"/>
          <w:sz w:val="20"/>
          <w:szCs w:val="20"/>
        </w:rPr>
        <w:t xml:space="preserve">The Ford Fiesta </w:t>
      </w:r>
      <w:r>
        <w:rPr>
          <w:rFonts w:ascii="Arial" w:hAnsi="Arial" w:cs="Arial"/>
          <w:sz w:val="20"/>
          <w:szCs w:val="20"/>
        </w:rPr>
        <w:t xml:space="preserve">remained </w:t>
      </w:r>
      <w:r w:rsidR="00D7400D" w:rsidRPr="005B052D">
        <w:rPr>
          <w:rFonts w:ascii="Arial" w:hAnsi="Arial" w:cs="Arial"/>
          <w:sz w:val="20"/>
          <w:szCs w:val="20"/>
        </w:rPr>
        <w:t xml:space="preserve">the best selling model in both </w:t>
      </w:r>
      <w:r>
        <w:rPr>
          <w:rFonts w:ascii="Arial" w:hAnsi="Arial" w:cs="Arial"/>
          <w:sz w:val="20"/>
          <w:szCs w:val="20"/>
        </w:rPr>
        <w:t>November</w:t>
      </w:r>
      <w:r w:rsidR="00D7400D" w:rsidRPr="005B052D">
        <w:rPr>
          <w:rFonts w:ascii="Arial" w:hAnsi="Arial" w:cs="Arial"/>
          <w:sz w:val="20"/>
          <w:szCs w:val="20"/>
        </w:rPr>
        <w:t xml:space="preserve"> and over the year-to-date.</w:t>
      </w:r>
    </w:p>
    <w:p w:rsidR="00D768A9" w:rsidRPr="00D7400D" w:rsidRDefault="00D768A9" w:rsidP="00D768A9">
      <w:pPr>
        <w:pStyle w:val="ListParagraph"/>
        <w:rPr>
          <w:rFonts w:ascii="Arial" w:hAnsi="Arial" w:cs="Arial"/>
          <w:sz w:val="18"/>
          <w:szCs w:val="18"/>
        </w:rPr>
      </w:pPr>
    </w:p>
    <w:p w:rsidR="00D7400D" w:rsidRDefault="00987E19" w:rsidP="00E60EAF">
      <w:pPr>
        <w:numPr>
          <w:ilvl w:val="0"/>
          <w:numId w:val="3"/>
        </w:numPr>
        <w:spacing w:line="276" w:lineRule="auto"/>
        <w:ind w:right="141"/>
        <w:rPr>
          <w:rFonts w:ascii="Arial" w:hAnsi="Arial" w:cs="Arial"/>
          <w:sz w:val="20"/>
          <w:szCs w:val="20"/>
        </w:rPr>
      </w:pPr>
      <w:r>
        <w:rPr>
          <w:rFonts w:ascii="Arial" w:hAnsi="Arial" w:cs="Arial"/>
          <w:sz w:val="20"/>
          <w:szCs w:val="20"/>
        </w:rPr>
        <w:t>The</w:t>
      </w:r>
      <w:r w:rsidR="00D768A9">
        <w:rPr>
          <w:rFonts w:ascii="Arial" w:hAnsi="Arial" w:cs="Arial"/>
          <w:sz w:val="20"/>
          <w:szCs w:val="20"/>
        </w:rPr>
        <w:t xml:space="preserve"> </w:t>
      </w:r>
      <w:r w:rsidR="005B052D">
        <w:rPr>
          <w:rFonts w:ascii="Arial" w:hAnsi="Arial" w:cs="Arial"/>
          <w:sz w:val="20"/>
          <w:szCs w:val="20"/>
        </w:rPr>
        <w:t>D</w:t>
      </w:r>
      <w:r w:rsidR="00FC71A9">
        <w:rPr>
          <w:rFonts w:ascii="Arial" w:hAnsi="Arial" w:cs="Arial"/>
          <w:sz w:val="20"/>
          <w:szCs w:val="20"/>
        </w:rPr>
        <w:t>ual Purpose segment rose by 18.5</w:t>
      </w:r>
      <w:r w:rsidR="005B052D">
        <w:rPr>
          <w:rFonts w:ascii="Arial" w:hAnsi="Arial" w:cs="Arial"/>
          <w:sz w:val="20"/>
          <w:szCs w:val="20"/>
        </w:rPr>
        <w:t xml:space="preserve">% in November, </w:t>
      </w:r>
      <w:r w:rsidR="008C2BCE">
        <w:rPr>
          <w:rFonts w:ascii="Arial" w:hAnsi="Arial" w:cs="Arial"/>
          <w:sz w:val="20"/>
          <w:szCs w:val="20"/>
        </w:rPr>
        <w:t xml:space="preserve">boosted by </w:t>
      </w:r>
      <w:r w:rsidR="005B052D">
        <w:rPr>
          <w:rFonts w:ascii="Arial" w:hAnsi="Arial" w:cs="Arial"/>
          <w:sz w:val="20"/>
          <w:szCs w:val="20"/>
        </w:rPr>
        <w:t xml:space="preserve">the success of new models. The largest segment, </w:t>
      </w:r>
      <w:proofErr w:type="spellStart"/>
      <w:r w:rsidR="005B052D">
        <w:rPr>
          <w:rFonts w:ascii="Arial" w:hAnsi="Arial" w:cs="Arial"/>
          <w:sz w:val="20"/>
          <w:szCs w:val="20"/>
        </w:rPr>
        <w:t>Superminis</w:t>
      </w:r>
      <w:proofErr w:type="spellEnd"/>
      <w:r w:rsidR="005B052D">
        <w:rPr>
          <w:rFonts w:ascii="Arial" w:hAnsi="Arial" w:cs="Arial"/>
          <w:sz w:val="20"/>
          <w:szCs w:val="20"/>
        </w:rPr>
        <w:t xml:space="preserve">, saw a modest fall </w:t>
      </w:r>
      <w:r w:rsidR="0083437D">
        <w:rPr>
          <w:rFonts w:ascii="Arial" w:hAnsi="Arial" w:cs="Arial"/>
          <w:sz w:val="20"/>
          <w:szCs w:val="20"/>
        </w:rPr>
        <w:t>bu</w:t>
      </w:r>
      <w:r w:rsidR="005B052D">
        <w:rPr>
          <w:rFonts w:ascii="Arial" w:hAnsi="Arial" w:cs="Arial"/>
          <w:sz w:val="20"/>
          <w:szCs w:val="20"/>
        </w:rPr>
        <w:t>t their market share rose to 34.</w:t>
      </w:r>
      <w:r w:rsidR="007C2406">
        <w:rPr>
          <w:rFonts w:ascii="Arial" w:hAnsi="Arial" w:cs="Arial"/>
          <w:sz w:val="20"/>
          <w:szCs w:val="20"/>
        </w:rPr>
        <w:t>6</w:t>
      </w:r>
      <w:r w:rsidR="005B052D">
        <w:rPr>
          <w:rFonts w:ascii="Arial" w:hAnsi="Arial" w:cs="Arial"/>
          <w:sz w:val="20"/>
          <w:szCs w:val="20"/>
        </w:rPr>
        <w:t>%, from 33.9% a year ago</w:t>
      </w:r>
      <w:r w:rsidR="00D7400D">
        <w:rPr>
          <w:rFonts w:ascii="Arial" w:hAnsi="Arial" w:cs="Arial"/>
          <w:sz w:val="20"/>
          <w:szCs w:val="20"/>
        </w:rPr>
        <w:t>.</w:t>
      </w:r>
    </w:p>
    <w:p w:rsidR="002876CD" w:rsidRPr="00E60EAF" w:rsidRDefault="002876CD" w:rsidP="002876CD">
      <w:pPr>
        <w:spacing w:line="276" w:lineRule="auto"/>
        <w:ind w:left="360" w:right="141"/>
        <w:rPr>
          <w:rFonts w:ascii="Arial" w:hAnsi="Arial" w:cs="Arial"/>
          <w:sz w:val="20"/>
          <w:szCs w:val="20"/>
        </w:rPr>
      </w:pPr>
    </w:p>
    <w:p w:rsidR="002678E2" w:rsidRDefault="002678E2" w:rsidP="00233556">
      <w:pPr>
        <w:pStyle w:val="ListParagraph"/>
        <w:ind w:left="0" w:right="-1"/>
        <w:rPr>
          <w:rFonts w:ascii="Arial" w:hAnsi="Arial" w:cs="Arial"/>
          <w:color w:val="1074CB"/>
          <w:sz w:val="16"/>
          <w:szCs w:val="16"/>
          <w:lang w:eastAsia="en-GB"/>
        </w:rPr>
      </w:pPr>
      <w:r>
        <w:rPr>
          <w:rFonts w:ascii="Arial" w:hAnsi="Arial" w:cs="Arial"/>
          <w:color w:val="1074CB"/>
          <w:sz w:val="16"/>
          <w:szCs w:val="16"/>
          <w:lang w:eastAsia="en-GB"/>
        </w:rPr>
        <w:t xml:space="preserve">The attached tables show the registration figures for Great Britain, Northern Ireland, the Isle of Man and the Channel Islands in detail. Providing that </w:t>
      </w:r>
      <w:r w:rsidRPr="00DF4D3A">
        <w:rPr>
          <w:rFonts w:ascii="Arial" w:hAnsi="Arial" w:cs="Arial"/>
          <w:b/>
          <w:color w:val="1074CB"/>
          <w:sz w:val="16"/>
          <w:szCs w:val="16"/>
          <w:lang w:eastAsia="en-GB"/>
        </w:rPr>
        <w:t>www.smmt.co.uk</w:t>
      </w:r>
      <w:r>
        <w:rPr>
          <w:rFonts w:ascii="Arial" w:hAnsi="Arial" w:cs="Arial"/>
          <w:color w:val="1074CB"/>
          <w:sz w:val="16"/>
          <w:szCs w:val="16"/>
          <w:lang w:eastAsia="en-GB"/>
        </w:rPr>
        <w:t xml:space="preserve"> is acknowledged as the source of this information, the figures may be </w:t>
      </w:r>
      <w:r w:rsidR="00DF4D3A">
        <w:rPr>
          <w:rFonts w:ascii="Arial" w:hAnsi="Arial" w:cs="Arial"/>
          <w:color w:val="1074CB"/>
          <w:sz w:val="16"/>
          <w:szCs w:val="16"/>
          <w:lang w:eastAsia="en-GB"/>
        </w:rPr>
        <w:t xml:space="preserve">quoted for editorial use only. </w:t>
      </w:r>
      <w:r>
        <w:rPr>
          <w:rFonts w:ascii="Arial" w:hAnsi="Arial" w:cs="Arial"/>
          <w:color w:val="1074CB"/>
          <w:sz w:val="16"/>
          <w:szCs w:val="16"/>
          <w:lang w:eastAsia="en-GB"/>
        </w:rPr>
        <w:t>Substantial reproduction needs specific approval by SMMT.</w:t>
      </w:r>
      <w:r w:rsidR="009C320B">
        <w:rPr>
          <w:rFonts w:ascii="Arial" w:hAnsi="Arial" w:cs="Arial"/>
          <w:color w:val="1074CB"/>
          <w:sz w:val="16"/>
          <w:szCs w:val="16"/>
          <w:lang w:eastAsia="en-GB"/>
        </w:rPr>
        <w:t xml:space="preserve"> </w:t>
      </w:r>
      <w:r w:rsidR="0083437D">
        <w:rPr>
          <w:rFonts w:ascii="Arial" w:hAnsi="Arial" w:cs="Arial"/>
          <w:b/>
          <w:color w:val="1074CB"/>
          <w:sz w:val="16"/>
          <w:szCs w:val="16"/>
          <w:lang w:eastAsia="en-GB"/>
        </w:rPr>
        <w:t>Full year</w:t>
      </w:r>
      <w:r w:rsidR="005D3B11">
        <w:rPr>
          <w:rFonts w:ascii="Arial" w:hAnsi="Arial" w:cs="Arial"/>
          <w:b/>
          <w:color w:val="1074CB"/>
          <w:sz w:val="16"/>
          <w:szCs w:val="16"/>
          <w:lang w:eastAsia="en-GB"/>
        </w:rPr>
        <w:t xml:space="preserve"> </w:t>
      </w:r>
      <w:r w:rsidR="006B020A" w:rsidRPr="00233556">
        <w:rPr>
          <w:rFonts w:ascii="Arial" w:hAnsi="Arial" w:cs="Arial"/>
          <w:b/>
          <w:color w:val="1074CB"/>
          <w:sz w:val="16"/>
          <w:szCs w:val="16"/>
          <w:lang w:eastAsia="en-GB"/>
        </w:rPr>
        <w:t>2011 new car registratio</w:t>
      </w:r>
      <w:r w:rsidR="00233556" w:rsidRPr="00233556">
        <w:rPr>
          <w:rFonts w:ascii="Arial" w:hAnsi="Arial" w:cs="Arial"/>
          <w:b/>
          <w:color w:val="1074CB"/>
          <w:sz w:val="16"/>
          <w:szCs w:val="16"/>
          <w:lang w:eastAsia="en-GB"/>
        </w:rPr>
        <w:t>n figures will be released</w:t>
      </w:r>
      <w:r w:rsidR="00DB5954">
        <w:rPr>
          <w:rFonts w:ascii="Arial" w:hAnsi="Arial" w:cs="Arial"/>
          <w:b/>
          <w:color w:val="1074CB"/>
          <w:sz w:val="16"/>
          <w:szCs w:val="16"/>
          <w:lang w:eastAsia="en-GB"/>
        </w:rPr>
        <w:t xml:space="preserve"> on </w:t>
      </w:r>
      <w:r w:rsidR="00D7400D">
        <w:rPr>
          <w:rFonts w:ascii="Arial" w:hAnsi="Arial" w:cs="Arial"/>
          <w:b/>
          <w:color w:val="1074CB"/>
          <w:sz w:val="16"/>
          <w:szCs w:val="16"/>
          <w:lang w:eastAsia="en-GB"/>
        </w:rPr>
        <w:t>6</w:t>
      </w:r>
      <w:r w:rsidR="00A011CA">
        <w:rPr>
          <w:rFonts w:ascii="Arial" w:hAnsi="Arial" w:cs="Arial"/>
          <w:b/>
          <w:color w:val="1074CB"/>
          <w:sz w:val="16"/>
          <w:szCs w:val="16"/>
          <w:lang w:eastAsia="en-GB"/>
        </w:rPr>
        <w:t xml:space="preserve"> </w:t>
      </w:r>
      <w:r w:rsidR="00250329">
        <w:rPr>
          <w:rFonts w:ascii="Arial" w:hAnsi="Arial" w:cs="Arial"/>
          <w:b/>
          <w:color w:val="1074CB"/>
          <w:sz w:val="16"/>
          <w:szCs w:val="16"/>
          <w:lang w:eastAsia="en-GB"/>
        </w:rPr>
        <w:t xml:space="preserve">January </w:t>
      </w:r>
      <w:r w:rsidR="006B020A" w:rsidRPr="00233556">
        <w:rPr>
          <w:rFonts w:ascii="Arial" w:hAnsi="Arial" w:cs="Arial"/>
          <w:b/>
          <w:color w:val="1074CB"/>
          <w:sz w:val="16"/>
          <w:szCs w:val="16"/>
          <w:lang w:eastAsia="en-GB"/>
        </w:rPr>
        <w:t>201</w:t>
      </w:r>
      <w:r w:rsidR="00250329">
        <w:rPr>
          <w:rFonts w:ascii="Arial" w:hAnsi="Arial" w:cs="Arial"/>
          <w:b/>
          <w:color w:val="1074CB"/>
          <w:sz w:val="16"/>
          <w:szCs w:val="16"/>
          <w:lang w:eastAsia="en-GB"/>
        </w:rPr>
        <w:t>2</w:t>
      </w:r>
      <w:r w:rsidR="00DB5954">
        <w:rPr>
          <w:rFonts w:ascii="Arial" w:hAnsi="Arial" w:cs="Arial"/>
          <w:b/>
          <w:color w:val="1074CB"/>
          <w:sz w:val="16"/>
          <w:szCs w:val="16"/>
          <w:lang w:eastAsia="en-GB"/>
        </w:rPr>
        <w:t xml:space="preserve"> at 0</w:t>
      </w:r>
      <w:r w:rsidR="00DB5954" w:rsidRPr="00233556">
        <w:rPr>
          <w:rFonts w:ascii="Arial" w:hAnsi="Arial" w:cs="Arial"/>
          <w:b/>
          <w:color w:val="1074CB"/>
          <w:sz w:val="16"/>
          <w:szCs w:val="16"/>
          <w:lang w:eastAsia="en-GB"/>
        </w:rPr>
        <w:t>9:</w:t>
      </w:r>
      <w:r w:rsidR="00DB5954">
        <w:rPr>
          <w:rFonts w:ascii="Arial" w:hAnsi="Arial" w:cs="Arial"/>
          <w:b/>
          <w:color w:val="1074CB"/>
          <w:sz w:val="16"/>
          <w:szCs w:val="16"/>
          <w:lang w:eastAsia="en-GB"/>
        </w:rPr>
        <w:t>00</w:t>
      </w:r>
      <w:r w:rsidR="006B020A" w:rsidRPr="00233556">
        <w:rPr>
          <w:rFonts w:ascii="Arial" w:hAnsi="Arial" w:cs="Arial"/>
          <w:b/>
          <w:color w:val="1074CB"/>
          <w:sz w:val="16"/>
          <w:szCs w:val="16"/>
          <w:lang w:eastAsia="en-GB"/>
        </w:rPr>
        <w:t>.</w:t>
      </w:r>
    </w:p>
    <w:sectPr w:rsidR="002678E2" w:rsidSect="00A02A69">
      <w:headerReference w:type="default" r:id="rId15"/>
      <w:footerReference w:type="default" r:id="rId16"/>
      <w:type w:val="continuous"/>
      <w:pgSz w:w="11899" w:h="16838"/>
      <w:pgMar w:top="1807" w:right="417" w:bottom="5" w:left="709" w:header="0" w:footer="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DFA" w:rsidRDefault="00784DFA">
      <w:pPr>
        <w:rPr>
          <w:rFonts w:ascii="Times New Roman" w:hAnsi="Times New Roman" w:cs="Times New Roman"/>
        </w:rPr>
      </w:pPr>
      <w:r>
        <w:rPr>
          <w:rFonts w:ascii="Times New Roman" w:hAnsi="Times New Roman" w:cs="Times New Roman"/>
        </w:rPr>
        <w:separator/>
      </w:r>
    </w:p>
  </w:endnote>
  <w:endnote w:type="continuationSeparator" w:id="0">
    <w:p w:rsidR="00784DFA" w:rsidRDefault="00784DF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PFDinDisplayPro-Light">
    <w:panose1 w:val="020005060000000200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60" w:rsidRDefault="00B93460">
    <w:pPr>
      <w:pStyle w:val="Footer"/>
      <w:ind w:right="-1"/>
      <w:jc w:val="right"/>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60" w:rsidRDefault="00B93460">
    <w:pPr>
      <w:pStyle w:val="Footer"/>
      <w:ind w:right="-1"/>
      <w:jc w:val="right"/>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DFA" w:rsidRDefault="00784DFA">
      <w:pPr>
        <w:rPr>
          <w:rFonts w:ascii="Times New Roman" w:hAnsi="Times New Roman" w:cs="Times New Roman"/>
        </w:rPr>
      </w:pPr>
      <w:r>
        <w:rPr>
          <w:rFonts w:ascii="Times New Roman" w:hAnsi="Times New Roman" w:cs="Times New Roman"/>
        </w:rPr>
        <w:separator/>
      </w:r>
    </w:p>
  </w:footnote>
  <w:footnote w:type="continuationSeparator" w:id="0">
    <w:p w:rsidR="00784DFA" w:rsidRDefault="00784DFA">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60" w:rsidRDefault="00B93460">
    <w:pPr>
      <w:pStyle w:val="Header"/>
      <w:jc w:val="right"/>
      <w:rPr>
        <w:rFonts w:ascii="Arial" w:hAnsi="Arial" w:cs="Arial"/>
        <w:sz w:val="20"/>
        <w:szCs w:val="20"/>
      </w:rPr>
    </w:pPr>
  </w:p>
  <w:p w:rsidR="00B93460" w:rsidRDefault="00B93460">
    <w:pPr>
      <w:pStyle w:val="Header"/>
      <w:jc w:val="right"/>
      <w:rPr>
        <w:rFonts w:ascii="Times New Roman" w:hAnsi="Times New Roman" w:cs="Times New Roman"/>
      </w:rPr>
    </w:pPr>
    <w:r>
      <w:rPr>
        <w:rFonts w:ascii="Times New Roman" w:hAnsi="Times New Roman" w:cs="Times New Roman"/>
        <w:noProof/>
      </w:rPr>
      <w:drawing>
        <wp:inline distT="0" distB="0" distL="0" distR="0">
          <wp:extent cx="2185035" cy="829760"/>
          <wp:effectExtent l="19050" t="0" r="5715" b="0"/>
          <wp:docPr id="1" name="Picture 1" descr="SMMT_Master_Brandlin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MT_Master_Brandline_(RGB)"/>
                  <pic:cNvPicPr>
                    <a:picLocks noChangeAspect="1" noChangeArrowheads="1"/>
                  </pic:cNvPicPr>
                </pic:nvPicPr>
                <pic:blipFill>
                  <a:blip r:embed="rId1"/>
                  <a:srcRect/>
                  <a:stretch>
                    <a:fillRect/>
                  </a:stretch>
                </pic:blipFill>
                <pic:spPr bwMode="auto">
                  <a:xfrm>
                    <a:off x="0" y="0"/>
                    <a:ext cx="2185035" cy="829760"/>
                  </a:xfrm>
                  <a:prstGeom prst="rect">
                    <a:avLst/>
                  </a:prstGeom>
                  <a:noFill/>
                  <a:ln w="9525">
                    <a:noFill/>
                    <a:miter lim="800000"/>
                    <a:headEnd/>
                    <a:tailEnd/>
                  </a:ln>
                </pic:spPr>
              </pic:pic>
            </a:graphicData>
          </a:graphic>
        </wp:inline>
      </w:drawing>
    </w:r>
  </w:p>
  <w:p w:rsidR="00B93460" w:rsidRDefault="00B93460">
    <w:pPr>
      <w:pStyle w:val="Header"/>
      <w:rPr>
        <w:rFonts w:ascii="Times New Roman" w:hAnsi="Times New Roman" w:cs="Times New Roman"/>
      </w:rPr>
    </w:pPr>
    <w:r>
      <w:rPr>
        <w:rStyle w:val="Strong"/>
        <w:rFonts w:ascii="Arial" w:hAnsi="Arial" w:cs="Arial"/>
        <w:color w:val="1074CB"/>
        <w:sz w:val="20"/>
        <w:szCs w:val="20"/>
      </w:rPr>
      <w:tab/>
    </w:r>
    <w:r>
      <w:rPr>
        <w:rStyle w:val="Strong"/>
        <w:rFonts w:ascii="Arial" w:hAnsi="Arial" w:cs="Arial"/>
        <w:color w:val="1074CB"/>
        <w:sz w:val="20"/>
        <w:szCs w:val="20"/>
      </w:rPr>
      <w:tab/>
      <w:t xml:space="preserve">                     Note to broadcasters: SMMT has an ISDN studio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60" w:rsidRDefault="00B93460">
    <w:pPr>
      <w:pStyle w:val="Header"/>
      <w:jc w:val="right"/>
      <w:rPr>
        <w:rFonts w:ascii="Arial" w:hAnsi="Arial" w:cs="Arial"/>
        <w:sz w:val="20"/>
        <w:szCs w:val="20"/>
      </w:rPr>
    </w:pPr>
  </w:p>
  <w:p w:rsidR="00B93460" w:rsidRDefault="00B93460">
    <w:pPr>
      <w:pStyle w:val="Header"/>
      <w:jc w:val="right"/>
      <w:rPr>
        <w:rFonts w:ascii="Times New Roman" w:hAnsi="Times New Roman" w:cs="Times New Roman"/>
      </w:rPr>
    </w:pPr>
    <w:r>
      <w:rPr>
        <w:rFonts w:ascii="Times New Roman" w:hAnsi="Times New Roman" w:cs="Times New Roman"/>
        <w:noProof/>
      </w:rPr>
      <w:drawing>
        <wp:inline distT="0" distB="0" distL="0" distR="0">
          <wp:extent cx="2257425" cy="857250"/>
          <wp:effectExtent l="19050" t="0" r="9525" b="0"/>
          <wp:docPr id="3" name="Picture 1" descr="SMMT_Master_Brandlin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MT_Master_Brandline_(RGB)"/>
                  <pic:cNvPicPr>
                    <a:picLocks noChangeAspect="1" noChangeArrowheads="1"/>
                  </pic:cNvPicPr>
                </pic:nvPicPr>
                <pic:blipFill>
                  <a:blip r:embed="rId1"/>
                  <a:srcRect/>
                  <a:stretch>
                    <a:fillRect/>
                  </a:stretch>
                </pic:blipFill>
                <pic:spPr bwMode="auto">
                  <a:xfrm>
                    <a:off x="0" y="0"/>
                    <a:ext cx="2257425" cy="857250"/>
                  </a:xfrm>
                  <a:prstGeom prst="rect">
                    <a:avLst/>
                  </a:prstGeom>
                  <a:noFill/>
                  <a:ln w="9525">
                    <a:noFill/>
                    <a:miter lim="800000"/>
                    <a:headEnd/>
                    <a:tailEnd/>
                  </a:ln>
                </pic:spPr>
              </pic:pic>
            </a:graphicData>
          </a:graphic>
        </wp:inline>
      </w:drawing>
    </w:r>
  </w:p>
  <w:p w:rsidR="00B93460" w:rsidRDefault="00B93460">
    <w:pPr>
      <w:pStyle w:val="Header"/>
      <w:rPr>
        <w:rFonts w:ascii="Times New Roman" w:hAnsi="Times New Roman" w:cs="Times New Roman"/>
      </w:rPr>
    </w:pPr>
    <w:r>
      <w:rPr>
        <w:rStyle w:val="Strong"/>
        <w:rFonts w:ascii="Arial" w:hAnsi="Arial" w:cs="Arial"/>
        <w:color w:val="1074CB"/>
        <w:sz w:val="20"/>
        <w:szCs w:val="20"/>
      </w:rPr>
      <w:tab/>
    </w:r>
    <w:r>
      <w:rPr>
        <w:rStyle w:val="Strong"/>
        <w:rFonts w:ascii="Arial" w:hAnsi="Arial" w:cs="Arial"/>
        <w:color w:val="1074CB"/>
        <w:sz w:val="20"/>
        <w:szCs w:val="20"/>
      </w:rPr>
      <w:tab/>
      <w:t xml:space="preserve">                                 Note to broadcasters: SMMT has an ISDN studio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C53E1"/>
    <w:multiLevelType w:val="hybridMultilevel"/>
    <w:tmpl w:val="30DCB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9D54275"/>
    <w:multiLevelType w:val="hybridMultilevel"/>
    <w:tmpl w:val="84EE2D66"/>
    <w:lvl w:ilvl="0" w:tplc="0B20253A">
      <w:start w:val="1"/>
      <w:numFmt w:val="bullet"/>
      <w:lvlText w:val=""/>
      <w:lvlJc w:val="left"/>
      <w:pPr>
        <w:tabs>
          <w:tab w:val="num" w:pos="360"/>
        </w:tabs>
        <w:ind w:left="36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
    <w:nsid w:val="3E73770B"/>
    <w:multiLevelType w:val="hybridMultilevel"/>
    <w:tmpl w:val="676C1984"/>
    <w:lvl w:ilvl="0" w:tplc="5CE8CA24">
      <w:start w:val="1"/>
      <w:numFmt w:val="bullet"/>
      <w:lvlText w:val=""/>
      <w:lvlJc w:val="left"/>
      <w:pPr>
        <w:tabs>
          <w:tab w:val="num" w:pos="720"/>
        </w:tabs>
        <w:ind w:left="720" w:hanging="360"/>
      </w:pPr>
      <w:rPr>
        <w:rFonts w:ascii="Symbol" w:hAnsi="Symbol" w:cs="Symbol" w:hint="default"/>
      </w:rPr>
    </w:lvl>
    <w:lvl w:ilvl="1" w:tplc="483EF0BC">
      <w:start w:val="1"/>
      <w:numFmt w:val="bullet"/>
      <w:lvlText w:val="o"/>
      <w:lvlJc w:val="left"/>
      <w:pPr>
        <w:tabs>
          <w:tab w:val="num" w:pos="1440"/>
        </w:tabs>
        <w:ind w:left="1440" w:hanging="360"/>
      </w:pPr>
      <w:rPr>
        <w:rFonts w:ascii="Courier New" w:hAnsi="Courier New" w:cs="Courier New" w:hint="default"/>
      </w:rPr>
    </w:lvl>
    <w:lvl w:ilvl="2" w:tplc="05AE20AA">
      <w:start w:val="1"/>
      <w:numFmt w:val="bullet"/>
      <w:lvlText w:val=""/>
      <w:lvlJc w:val="left"/>
      <w:pPr>
        <w:tabs>
          <w:tab w:val="num" w:pos="2160"/>
        </w:tabs>
        <w:ind w:left="2160" w:hanging="360"/>
      </w:pPr>
      <w:rPr>
        <w:rFonts w:ascii="Wingdings" w:hAnsi="Wingdings" w:cs="Wingdings" w:hint="default"/>
      </w:rPr>
    </w:lvl>
    <w:lvl w:ilvl="3" w:tplc="678869C6">
      <w:start w:val="1"/>
      <w:numFmt w:val="bullet"/>
      <w:lvlText w:val=""/>
      <w:lvlJc w:val="left"/>
      <w:pPr>
        <w:tabs>
          <w:tab w:val="num" w:pos="2880"/>
        </w:tabs>
        <w:ind w:left="2880" w:hanging="360"/>
      </w:pPr>
      <w:rPr>
        <w:rFonts w:ascii="Symbol" w:hAnsi="Symbol" w:cs="Symbol" w:hint="default"/>
      </w:rPr>
    </w:lvl>
    <w:lvl w:ilvl="4" w:tplc="3FB6AC72">
      <w:start w:val="1"/>
      <w:numFmt w:val="bullet"/>
      <w:lvlText w:val="o"/>
      <w:lvlJc w:val="left"/>
      <w:pPr>
        <w:tabs>
          <w:tab w:val="num" w:pos="3600"/>
        </w:tabs>
        <w:ind w:left="3600" w:hanging="360"/>
      </w:pPr>
      <w:rPr>
        <w:rFonts w:ascii="Courier New" w:hAnsi="Courier New" w:cs="Courier New" w:hint="default"/>
      </w:rPr>
    </w:lvl>
    <w:lvl w:ilvl="5" w:tplc="0352B7C8">
      <w:start w:val="1"/>
      <w:numFmt w:val="bullet"/>
      <w:lvlText w:val=""/>
      <w:lvlJc w:val="left"/>
      <w:pPr>
        <w:tabs>
          <w:tab w:val="num" w:pos="4320"/>
        </w:tabs>
        <w:ind w:left="4320" w:hanging="360"/>
      </w:pPr>
      <w:rPr>
        <w:rFonts w:ascii="Wingdings" w:hAnsi="Wingdings" w:cs="Wingdings" w:hint="default"/>
      </w:rPr>
    </w:lvl>
    <w:lvl w:ilvl="6" w:tplc="005AE0CA">
      <w:start w:val="1"/>
      <w:numFmt w:val="bullet"/>
      <w:lvlText w:val=""/>
      <w:lvlJc w:val="left"/>
      <w:pPr>
        <w:tabs>
          <w:tab w:val="num" w:pos="5040"/>
        </w:tabs>
        <w:ind w:left="5040" w:hanging="360"/>
      </w:pPr>
      <w:rPr>
        <w:rFonts w:ascii="Symbol" w:hAnsi="Symbol" w:cs="Symbol" w:hint="default"/>
      </w:rPr>
    </w:lvl>
    <w:lvl w:ilvl="7" w:tplc="36D86262">
      <w:start w:val="1"/>
      <w:numFmt w:val="bullet"/>
      <w:lvlText w:val="o"/>
      <w:lvlJc w:val="left"/>
      <w:pPr>
        <w:tabs>
          <w:tab w:val="num" w:pos="5760"/>
        </w:tabs>
        <w:ind w:left="5760" w:hanging="360"/>
      </w:pPr>
      <w:rPr>
        <w:rFonts w:ascii="Courier New" w:hAnsi="Courier New" w:cs="Courier New" w:hint="default"/>
      </w:rPr>
    </w:lvl>
    <w:lvl w:ilvl="8" w:tplc="A0A0C5AA">
      <w:start w:val="1"/>
      <w:numFmt w:val="bullet"/>
      <w:lvlText w:val=""/>
      <w:lvlJc w:val="left"/>
      <w:pPr>
        <w:tabs>
          <w:tab w:val="num" w:pos="6480"/>
        </w:tabs>
        <w:ind w:left="6480" w:hanging="360"/>
      </w:pPr>
      <w:rPr>
        <w:rFonts w:ascii="Wingdings" w:hAnsi="Wingdings" w:cs="Wingdings" w:hint="default"/>
      </w:rPr>
    </w:lvl>
  </w:abstractNum>
  <w:abstractNum w:abstractNumId="3">
    <w:nsid w:val="58881EF8"/>
    <w:multiLevelType w:val="hybridMultilevel"/>
    <w:tmpl w:val="1B4C8DD4"/>
    <w:lvl w:ilvl="0" w:tplc="0B20253A">
      <w:start w:val="1"/>
      <w:numFmt w:val="bullet"/>
      <w:lvlText w:val=""/>
      <w:lvlJc w:val="left"/>
      <w:pPr>
        <w:tabs>
          <w:tab w:val="num" w:pos="360"/>
        </w:tabs>
        <w:ind w:left="36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20"/>
  <w:doNotHyphenateCaps/>
  <w:drawingGridHorizontalSpacing w:val="120"/>
  <w:displayHorizontalDrawingGridEvery w:val="0"/>
  <w:displayVerticalDrawingGridEvery w:val="0"/>
  <w:characterSpacingControl w:val="doNotCompress"/>
  <w:doNotValidateAgainstSchema/>
  <w:doNotDemarcateInvalidXml/>
  <w:hdrShapeDefaults>
    <o:shapedefaults v:ext="edit" spidmax="240641"/>
  </w:hdrShapeDefaults>
  <w:footnotePr>
    <w:footnote w:id="-1"/>
    <w:footnote w:id="0"/>
  </w:footnotePr>
  <w:endnotePr>
    <w:endnote w:id="-1"/>
    <w:endnote w:id="0"/>
  </w:endnotePr>
  <w:compat>
    <w:useFELayout/>
  </w:compat>
  <w:rsids>
    <w:rsidRoot w:val="002678E2"/>
    <w:rsid w:val="0000144D"/>
    <w:rsid w:val="00002D64"/>
    <w:rsid w:val="00005E2E"/>
    <w:rsid w:val="0001016B"/>
    <w:rsid w:val="0001107A"/>
    <w:rsid w:val="00011DCA"/>
    <w:rsid w:val="0001342B"/>
    <w:rsid w:val="00013E2C"/>
    <w:rsid w:val="00023CAF"/>
    <w:rsid w:val="00025CE7"/>
    <w:rsid w:val="000278FD"/>
    <w:rsid w:val="000459BA"/>
    <w:rsid w:val="00045BA0"/>
    <w:rsid w:val="00046B47"/>
    <w:rsid w:val="000633A5"/>
    <w:rsid w:val="000647BA"/>
    <w:rsid w:val="000657FA"/>
    <w:rsid w:val="0007167A"/>
    <w:rsid w:val="00071778"/>
    <w:rsid w:val="00081E82"/>
    <w:rsid w:val="00092262"/>
    <w:rsid w:val="00094C1B"/>
    <w:rsid w:val="000A384B"/>
    <w:rsid w:val="000B04EC"/>
    <w:rsid w:val="000C2BEE"/>
    <w:rsid w:val="000C458C"/>
    <w:rsid w:val="000E2699"/>
    <w:rsid w:val="000F0987"/>
    <w:rsid w:val="000F310E"/>
    <w:rsid w:val="0010726D"/>
    <w:rsid w:val="0011365D"/>
    <w:rsid w:val="001200FA"/>
    <w:rsid w:val="00123672"/>
    <w:rsid w:val="00123DB5"/>
    <w:rsid w:val="00130A23"/>
    <w:rsid w:val="00151A0A"/>
    <w:rsid w:val="00153DBF"/>
    <w:rsid w:val="0015715B"/>
    <w:rsid w:val="00157E74"/>
    <w:rsid w:val="00161F9B"/>
    <w:rsid w:val="0018557D"/>
    <w:rsid w:val="00191D99"/>
    <w:rsid w:val="00193D57"/>
    <w:rsid w:val="00194B44"/>
    <w:rsid w:val="001950C4"/>
    <w:rsid w:val="001A25E9"/>
    <w:rsid w:val="001A32AB"/>
    <w:rsid w:val="001B1A0B"/>
    <w:rsid w:val="001B73E9"/>
    <w:rsid w:val="001D7F29"/>
    <w:rsid w:val="001E1788"/>
    <w:rsid w:val="001E20AC"/>
    <w:rsid w:val="001F5273"/>
    <w:rsid w:val="001F5FAF"/>
    <w:rsid w:val="001F65F6"/>
    <w:rsid w:val="001F78C2"/>
    <w:rsid w:val="00204AAF"/>
    <w:rsid w:val="00207CB7"/>
    <w:rsid w:val="002128A1"/>
    <w:rsid w:val="00212A2F"/>
    <w:rsid w:val="00220473"/>
    <w:rsid w:val="002237E6"/>
    <w:rsid w:val="0022534F"/>
    <w:rsid w:val="00230E65"/>
    <w:rsid w:val="00230FF3"/>
    <w:rsid w:val="00233556"/>
    <w:rsid w:val="00235D9A"/>
    <w:rsid w:val="0024052B"/>
    <w:rsid w:val="00246A6A"/>
    <w:rsid w:val="00247C40"/>
    <w:rsid w:val="00250329"/>
    <w:rsid w:val="0025109C"/>
    <w:rsid w:val="00256F80"/>
    <w:rsid w:val="00266444"/>
    <w:rsid w:val="002678E2"/>
    <w:rsid w:val="0027021C"/>
    <w:rsid w:val="0027788B"/>
    <w:rsid w:val="00280437"/>
    <w:rsid w:val="00284BC8"/>
    <w:rsid w:val="002876CD"/>
    <w:rsid w:val="00290084"/>
    <w:rsid w:val="00291DEF"/>
    <w:rsid w:val="002A7F5E"/>
    <w:rsid w:val="002B10F1"/>
    <w:rsid w:val="002B3946"/>
    <w:rsid w:val="002C5681"/>
    <w:rsid w:val="002D1296"/>
    <w:rsid w:val="002D5DB8"/>
    <w:rsid w:val="002E5324"/>
    <w:rsid w:val="002F0694"/>
    <w:rsid w:val="002F2FF2"/>
    <w:rsid w:val="0030542E"/>
    <w:rsid w:val="00314130"/>
    <w:rsid w:val="00321472"/>
    <w:rsid w:val="00322CD9"/>
    <w:rsid w:val="00324817"/>
    <w:rsid w:val="00326F58"/>
    <w:rsid w:val="00340A36"/>
    <w:rsid w:val="00344608"/>
    <w:rsid w:val="00345125"/>
    <w:rsid w:val="00362BD4"/>
    <w:rsid w:val="0036475C"/>
    <w:rsid w:val="00365306"/>
    <w:rsid w:val="003710DE"/>
    <w:rsid w:val="003714F7"/>
    <w:rsid w:val="00371C01"/>
    <w:rsid w:val="00372AA8"/>
    <w:rsid w:val="00374578"/>
    <w:rsid w:val="00385092"/>
    <w:rsid w:val="0038510A"/>
    <w:rsid w:val="00390481"/>
    <w:rsid w:val="00390D80"/>
    <w:rsid w:val="003930A7"/>
    <w:rsid w:val="003B207D"/>
    <w:rsid w:val="003B2F6B"/>
    <w:rsid w:val="003B4A1C"/>
    <w:rsid w:val="003B4E24"/>
    <w:rsid w:val="003B744E"/>
    <w:rsid w:val="003D52EF"/>
    <w:rsid w:val="003F0CCA"/>
    <w:rsid w:val="003F4820"/>
    <w:rsid w:val="003F4F2A"/>
    <w:rsid w:val="003F5888"/>
    <w:rsid w:val="00401C76"/>
    <w:rsid w:val="0040622A"/>
    <w:rsid w:val="00411A80"/>
    <w:rsid w:val="00417637"/>
    <w:rsid w:val="004252EA"/>
    <w:rsid w:val="00436880"/>
    <w:rsid w:val="004368CC"/>
    <w:rsid w:val="00446C3B"/>
    <w:rsid w:val="0046012D"/>
    <w:rsid w:val="00460FBD"/>
    <w:rsid w:val="00464AFC"/>
    <w:rsid w:val="004676F8"/>
    <w:rsid w:val="00474363"/>
    <w:rsid w:val="00477BB9"/>
    <w:rsid w:val="00480533"/>
    <w:rsid w:val="004818CE"/>
    <w:rsid w:val="00483DE5"/>
    <w:rsid w:val="004867B0"/>
    <w:rsid w:val="0049470E"/>
    <w:rsid w:val="004A1463"/>
    <w:rsid w:val="004A270A"/>
    <w:rsid w:val="004A46CA"/>
    <w:rsid w:val="004B48D7"/>
    <w:rsid w:val="004B7352"/>
    <w:rsid w:val="004E0457"/>
    <w:rsid w:val="004E5116"/>
    <w:rsid w:val="004F0B59"/>
    <w:rsid w:val="004F129D"/>
    <w:rsid w:val="004F1C41"/>
    <w:rsid w:val="004F2F52"/>
    <w:rsid w:val="004F478E"/>
    <w:rsid w:val="004F5C07"/>
    <w:rsid w:val="005066CC"/>
    <w:rsid w:val="00507180"/>
    <w:rsid w:val="0051101E"/>
    <w:rsid w:val="005210B3"/>
    <w:rsid w:val="005251D0"/>
    <w:rsid w:val="0052633F"/>
    <w:rsid w:val="00527792"/>
    <w:rsid w:val="005278AE"/>
    <w:rsid w:val="005307F5"/>
    <w:rsid w:val="00530974"/>
    <w:rsid w:val="00530C7F"/>
    <w:rsid w:val="00535EC2"/>
    <w:rsid w:val="005417BA"/>
    <w:rsid w:val="00541F38"/>
    <w:rsid w:val="005447A5"/>
    <w:rsid w:val="00545B03"/>
    <w:rsid w:val="00555ECC"/>
    <w:rsid w:val="005609A1"/>
    <w:rsid w:val="005666F9"/>
    <w:rsid w:val="0056678E"/>
    <w:rsid w:val="00571D3F"/>
    <w:rsid w:val="00575005"/>
    <w:rsid w:val="0057685F"/>
    <w:rsid w:val="00576BC3"/>
    <w:rsid w:val="00583657"/>
    <w:rsid w:val="00584CD1"/>
    <w:rsid w:val="00591F90"/>
    <w:rsid w:val="00593598"/>
    <w:rsid w:val="00594A4D"/>
    <w:rsid w:val="00597E07"/>
    <w:rsid w:val="005A12E9"/>
    <w:rsid w:val="005A171A"/>
    <w:rsid w:val="005A67FD"/>
    <w:rsid w:val="005B052D"/>
    <w:rsid w:val="005B0905"/>
    <w:rsid w:val="005B1F76"/>
    <w:rsid w:val="005B73A7"/>
    <w:rsid w:val="005C6171"/>
    <w:rsid w:val="005D3B11"/>
    <w:rsid w:val="005D55FF"/>
    <w:rsid w:val="005F10D0"/>
    <w:rsid w:val="00611215"/>
    <w:rsid w:val="006156E7"/>
    <w:rsid w:val="00616E63"/>
    <w:rsid w:val="00617DF3"/>
    <w:rsid w:val="00627332"/>
    <w:rsid w:val="006304CD"/>
    <w:rsid w:val="00641019"/>
    <w:rsid w:val="0064246D"/>
    <w:rsid w:val="00642CC5"/>
    <w:rsid w:val="006558AA"/>
    <w:rsid w:val="0066065E"/>
    <w:rsid w:val="00661023"/>
    <w:rsid w:val="0066186E"/>
    <w:rsid w:val="00663E88"/>
    <w:rsid w:val="0066453A"/>
    <w:rsid w:val="006721A2"/>
    <w:rsid w:val="00680845"/>
    <w:rsid w:val="006846DB"/>
    <w:rsid w:val="00695EE1"/>
    <w:rsid w:val="00696514"/>
    <w:rsid w:val="006A2894"/>
    <w:rsid w:val="006B020A"/>
    <w:rsid w:val="006B2F99"/>
    <w:rsid w:val="006B4960"/>
    <w:rsid w:val="006C377A"/>
    <w:rsid w:val="006D3CEB"/>
    <w:rsid w:val="006D72E8"/>
    <w:rsid w:val="006D79A0"/>
    <w:rsid w:val="006D7F28"/>
    <w:rsid w:val="006E0083"/>
    <w:rsid w:val="006E0620"/>
    <w:rsid w:val="006E6547"/>
    <w:rsid w:val="006F55E4"/>
    <w:rsid w:val="006F58CA"/>
    <w:rsid w:val="006F69EC"/>
    <w:rsid w:val="007000DB"/>
    <w:rsid w:val="00700238"/>
    <w:rsid w:val="007020B5"/>
    <w:rsid w:val="00705EEC"/>
    <w:rsid w:val="0071192F"/>
    <w:rsid w:val="0071382A"/>
    <w:rsid w:val="00717A81"/>
    <w:rsid w:val="00731B8C"/>
    <w:rsid w:val="00731D2D"/>
    <w:rsid w:val="00734583"/>
    <w:rsid w:val="00734C2E"/>
    <w:rsid w:val="007361D1"/>
    <w:rsid w:val="00737643"/>
    <w:rsid w:val="00740AB3"/>
    <w:rsid w:val="00770680"/>
    <w:rsid w:val="00772E9E"/>
    <w:rsid w:val="00773794"/>
    <w:rsid w:val="0077729F"/>
    <w:rsid w:val="00784DFA"/>
    <w:rsid w:val="0079113B"/>
    <w:rsid w:val="00794096"/>
    <w:rsid w:val="007A159B"/>
    <w:rsid w:val="007C2406"/>
    <w:rsid w:val="007C4457"/>
    <w:rsid w:val="007D235D"/>
    <w:rsid w:val="007E52B7"/>
    <w:rsid w:val="007F4BD0"/>
    <w:rsid w:val="007F54F9"/>
    <w:rsid w:val="00800300"/>
    <w:rsid w:val="00803836"/>
    <w:rsid w:val="00814550"/>
    <w:rsid w:val="008241DD"/>
    <w:rsid w:val="0083437D"/>
    <w:rsid w:val="00835E3C"/>
    <w:rsid w:val="00840BC2"/>
    <w:rsid w:val="0084113D"/>
    <w:rsid w:val="00847A52"/>
    <w:rsid w:val="00847B55"/>
    <w:rsid w:val="00850F7F"/>
    <w:rsid w:val="008748D8"/>
    <w:rsid w:val="00884792"/>
    <w:rsid w:val="00892055"/>
    <w:rsid w:val="00892F19"/>
    <w:rsid w:val="008A4136"/>
    <w:rsid w:val="008A6303"/>
    <w:rsid w:val="008A6397"/>
    <w:rsid w:val="008A6F18"/>
    <w:rsid w:val="008B4045"/>
    <w:rsid w:val="008C2BCE"/>
    <w:rsid w:val="008C7B9B"/>
    <w:rsid w:val="008D05FD"/>
    <w:rsid w:val="008D59A6"/>
    <w:rsid w:val="008D78C5"/>
    <w:rsid w:val="008F048D"/>
    <w:rsid w:val="008F7E6E"/>
    <w:rsid w:val="00901DD3"/>
    <w:rsid w:val="00921ADC"/>
    <w:rsid w:val="009258CE"/>
    <w:rsid w:val="00925C3A"/>
    <w:rsid w:val="0093224A"/>
    <w:rsid w:val="00932CCA"/>
    <w:rsid w:val="00937FA1"/>
    <w:rsid w:val="00942C7D"/>
    <w:rsid w:val="00942D4C"/>
    <w:rsid w:val="009462D4"/>
    <w:rsid w:val="00953028"/>
    <w:rsid w:val="009577F0"/>
    <w:rsid w:val="009633B8"/>
    <w:rsid w:val="009655A8"/>
    <w:rsid w:val="00971FF7"/>
    <w:rsid w:val="00973A1A"/>
    <w:rsid w:val="00974C87"/>
    <w:rsid w:val="0098145B"/>
    <w:rsid w:val="00985451"/>
    <w:rsid w:val="009865F3"/>
    <w:rsid w:val="00987E19"/>
    <w:rsid w:val="00995C4F"/>
    <w:rsid w:val="00997B1E"/>
    <w:rsid w:val="009A4A7F"/>
    <w:rsid w:val="009B1E95"/>
    <w:rsid w:val="009B2500"/>
    <w:rsid w:val="009B264E"/>
    <w:rsid w:val="009C1756"/>
    <w:rsid w:val="009C1CC2"/>
    <w:rsid w:val="009C320B"/>
    <w:rsid w:val="009C3B6B"/>
    <w:rsid w:val="009C5B1C"/>
    <w:rsid w:val="009C7119"/>
    <w:rsid w:val="009D648C"/>
    <w:rsid w:val="009E04ED"/>
    <w:rsid w:val="009E0A59"/>
    <w:rsid w:val="009E325F"/>
    <w:rsid w:val="009E79C7"/>
    <w:rsid w:val="009E7BA0"/>
    <w:rsid w:val="009F37E8"/>
    <w:rsid w:val="009F4DB7"/>
    <w:rsid w:val="009F575E"/>
    <w:rsid w:val="00A011CA"/>
    <w:rsid w:val="00A017BF"/>
    <w:rsid w:val="00A02A69"/>
    <w:rsid w:val="00A1007B"/>
    <w:rsid w:val="00A1271F"/>
    <w:rsid w:val="00A17B8F"/>
    <w:rsid w:val="00A2287A"/>
    <w:rsid w:val="00A32D58"/>
    <w:rsid w:val="00A357AA"/>
    <w:rsid w:val="00A40E0A"/>
    <w:rsid w:val="00A46C84"/>
    <w:rsid w:val="00A477D0"/>
    <w:rsid w:val="00A50EBD"/>
    <w:rsid w:val="00A510EB"/>
    <w:rsid w:val="00A607A4"/>
    <w:rsid w:val="00A6267B"/>
    <w:rsid w:val="00A64C18"/>
    <w:rsid w:val="00A74E91"/>
    <w:rsid w:val="00A761E4"/>
    <w:rsid w:val="00A76FD9"/>
    <w:rsid w:val="00A775BA"/>
    <w:rsid w:val="00A806BD"/>
    <w:rsid w:val="00A91BF4"/>
    <w:rsid w:val="00AC1D5E"/>
    <w:rsid w:val="00AC2856"/>
    <w:rsid w:val="00AE308C"/>
    <w:rsid w:val="00AE6795"/>
    <w:rsid w:val="00AF1C8B"/>
    <w:rsid w:val="00B03D77"/>
    <w:rsid w:val="00B133B1"/>
    <w:rsid w:val="00B13E75"/>
    <w:rsid w:val="00B1796F"/>
    <w:rsid w:val="00B20CCC"/>
    <w:rsid w:val="00B23AB1"/>
    <w:rsid w:val="00B417E4"/>
    <w:rsid w:val="00B41FCE"/>
    <w:rsid w:val="00B46858"/>
    <w:rsid w:val="00B51036"/>
    <w:rsid w:val="00B545E1"/>
    <w:rsid w:val="00B553E6"/>
    <w:rsid w:val="00B578F1"/>
    <w:rsid w:val="00B625DF"/>
    <w:rsid w:val="00B67932"/>
    <w:rsid w:val="00B724A9"/>
    <w:rsid w:val="00B728EA"/>
    <w:rsid w:val="00B7688A"/>
    <w:rsid w:val="00B80CE4"/>
    <w:rsid w:val="00B863BC"/>
    <w:rsid w:val="00B87DCB"/>
    <w:rsid w:val="00B93460"/>
    <w:rsid w:val="00BA3E7F"/>
    <w:rsid w:val="00BB6EE4"/>
    <w:rsid w:val="00BC0CED"/>
    <w:rsid w:val="00BD1865"/>
    <w:rsid w:val="00BE4699"/>
    <w:rsid w:val="00BE63EF"/>
    <w:rsid w:val="00BE6B08"/>
    <w:rsid w:val="00BE7A99"/>
    <w:rsid w:val="00BF1888"/>
    <w:rsid w:val="00BF709F"/>
    <w:rsid w:val="00C01937"/>
    <w:rsid w:val="00C02815"/>
    <w:rsid w:val="00C062CF"/>
    <w:rsid w:val="00C06774"/>
    <w:rsid w:val="00C078CE"/>
    <w:rsid w:val="00C263B0"/>
    <w:rsid w:val="00C30EDB"/>
    <w:rsid w:val="00C3602A"/>
    <w:rsid w:val="00C46EF8"/>
    <w:rsid w:val="00C47841"/>
    <w:rsid w:val="00C70EFB"/>
    <w:rsid w:val="00C80D3D"/>
    <w:rsid w:val="00C8569A"/>
    <w:rsid w:val="00C86E65"/>
    <w:rsid w:val="00C90248"/>
    <w:rsid w:val="00C971AD"/>
    <w:rsid w:val="00C974AF"/>
    <w:rsid w:val="00CA4B44"/>
    <w:rsid w:val="00CB0028"/>
    <w:rsid w:val="00CC3838"/>
    <w:rsid w:val="00CE2218"/>
    <w:rsid w:val="00CE4385"/>
    <w:rsid w:val="00CE572D"/>
    <w:rsid w:val="00CE5918"/>
    <w:rsid w:val="00CE7CA0"/>
    <w:rsid w:val="00CF5FF7"/>
    <w:rsid w:val="00CF6203"/>
    <w:rsid w:val="00D027AD"/>
    <w:rsid w:val="00D03294"/>
    <w:rsid w:val="00D041BD"/>
    <w:rsid w:val="00D05C44"/>
    <w:rsid w:val="00D1070A"/>
    <w:rsid w:val="00D14447"/>
    <w:rsid w:val="00D177D0"/>
    <w:rsid w:val="00D17B6E"/>
    <w:rsid w:val="00D256D9"/>
    <w:rsid w:val="00D2584C"/>
    <w:rsid w:val="00D26325"/>
    <w:rsid w:val="00D30032"/>
    <w:rsid w:val="00D377AB"/>
    <w:rsid w:val="00D439C6"/>
    <w:rsid w:val="00D51187"/>
    <w:rsid w:val="00D57648"/>
    <w:rsid w:val="00D60466"/>
    <w:rsid w:val="00D62381"/>
    <w:rsid w:val="00D62C52"/>
    <w:rsid w:val="00D66AB7"/>
    <w:rsid w:val="00D67E8A"/>
    <w:rsid w:val="00D72D0C"/>
    <w:rsid w:val="00D7400D"/>
    <w:rsid w:val="00D768A9"/>
    <w:rsid w:val="00D8587D"/>
    <w:rsid w:val="00D90AED"/>
    <w:rsid w:val="00D977CD"/>
    <w:rsid w:val="00D97951"/>
    <w:rsid w:val="00DA74F5"/>
    <w:rsid w:val="00DB0D00"/>
    <w:rsid w:val="00DB226F"/>
    <w:rsid w:val="00DB52CA"/>
    <w:rsid w:val="00DB5954"/>
    <w:rsid w:val="00DC28F2"/>
    <w:rsid w:val="00DC787F"/>
    <w:rsid w:val="00DD5330"/>
    <w:rsid w:val="00DD7EF9"/>
    <w:rsid w:val="00DD7F50"/>
    <w:rsid w:val="00DE6D4E"/>
    <w:rsid w:val="00DF4D3A"/>
    <w:rsid w:val="00E0562D"/>
    <w:rsid w:val="00E06BDA"/>
    <w:rsid w:val="00E0726C"/>
    <w:rsid w:val="00E07BB4"/>
    <w:rsid w:val="00E2286A"/>
    <w:rsid w:val="00E26D3D"/>
    <w:rsid w:val="00E35049"/>
    <w:rsid w:val="00E55118"/>
    <w:rsid w:val="00E60EAF"/>
    <w:rsid w:val="00E6354E"/>
    <w:rsid w:val="00E645DA"/>
    <w:rsid w:val="00E66A63"/>
    <w:rsid w:val="00E907E7"/>
    <w:rsid w:val="00E916FF"/>
    <w:rsid w:val="00E9601B"/>
    <w:rsid w:val="00EA19F4"/>
    <w:rsid w:val="00EB1092"/>
    <w:rsid w:val="00EC2515"/>
    <w:rsid w:val="00EC2AD9"/>
    <w:rsid w:val="00EC44EB"/>
    <w:rsid w:val="00EC6DA8"/>
    <w:rsid w:val="00ED0DEC"/>
    <w:rsid w:val="00EE5B48"/>
    <w:rsid w:val="00EE67FE"/>
    <w:rsid w:val="00EF21DD"/>
    <w:rsid w:val="00EF74FF"/>
    <w:rsid w:val="00F02C5E"/>
    <w:rsid w:val="00F06688"/>
    <w:rsid w:val="00F07788"/>
    <w:rsid w:val="00F120A4"/>
    <w:rsid w:val="00F148D3"/>
    <w:rsid w:val="00F229B4"/>
    <w:rsid w:val="00F23C07"/>
    <w:rsid w:val="00F24CCE"/>
    <w:rsid w:val="00F27B7C"/>
    <w:rsid w:val="00F37A48"/>
    <w:rsid w:val="00F422EE"/>
    <w:rsid w:val="00F452F0"/>
    <w:rsid w:val="00F52C84"/>
    <w:rsid w:val="00F53DF4"/>
    <w:rsid w:val="00F554F5"/>
    <w:rsid w:val="00F5761B"/>
    <w:rsid w:val="00F6163D"/>
    <w:rsid w:val="00F645F3"/>
    <w:rsid w:val="00F66B41"/>
    <w:rsid w:val="00F74A09"/>
    <w:rsid w:val="00F77797"/>
    <w:rsid w:val="00F86F02"/>
    <w:rsid w:val="00F90101"/>
    <w:rsid w:val="00F928F9"/>
    <w:rsid w:val="00FA43B0"/>
    <w:rsid w:val="00FC60AD"/>
    <w:rsid w:val="00FC71A9"/>
    <w:rsid w:val="00FC7439"/>
    <w:rsid w:val="00FD29C3"/>
    <w:rsid w:val="00FE1842"/>
    <w:rsid w:val="00FE54A3"/>
    <w:rsid w:val="00FE67E3"/>
    <w:rsid w:val="00FE682D"/>
    <w:rsid w:val="00FE78B0"/>
    <w:rsid w:val="00FF423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06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Block Text" w:unhideWhenUsed="0"/>
    <w:lsdException w:name="Hyperlink" w:unhideWhenUsed="0"/>
    <w:lsdException w:name="FollowedHyperlink" w:unhideWhenUsed="0"/>
    <w:lsdException w:name="Strong" w:semiHidden="0"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FF3"/>
    <w:rPr>
      <w:rFonts w:ascii="Times" w:hAnsi="Times" w:cs="Times"/>
      <w:sz w:val="24"/>
      <w:szCs w:val="24"/>
      <w:lang w:val="en-GB" w:eastAsia="en-GB"/>
    </w:rPr>
  </w:style>
  <w:style w:type="paragraph" w:styleId="Heading1">
    <w:name w:val="heading 1"/>
    <w:basedOn w:val="Normal"/>
    <w:next w:val="Normal"/>
    <w:link w:val="Heading1Char"/>
    <w:uiPriority w:val="99"/>
    <w:qFormat/>
    <w:rsid w:val="00230FF3"/>
    <w:pPr>
      <w:keepNext/>
      <w:widowControl w:val="0"/>
      <w:autoSpaceDE w:val="0"/>
      <w:autoSpaceDN w:val="0"/>
      <w:adjustRightInd w:val="0"/>
      <w:ind w:left="720" w:hanging="720"/>
      <w:outlineLvl w:val="0"/>
    </w:pPr>
    <w:rPr>
      <w:rFonts w:ascii="Arial Bold" w:hAnsi="Arial Bold" w:cs="Arial Bold"/>
      <w:b/>
      <w:bCs/>
      <w:sz w:val="20"/>
      <w:szCs w:val="20"/>
    </w:rPr>
  </w:style>
  <w:style w:type="paragraph" w:styleId="Heading3">
    <w:name w:val="heading 3"/>
    <w:basedOn w:val="Normal"/>
    <w:next w:val="Normal"/>
    <w:link w:val="Heading3Char"/>
    <w:uiPriority w:val="99"/>
    <w:qFormat/>
    <w:rsid w:val="00230FF3"/>
    <w:pPr>
      <w:keepNext/>
      <w:keepLines/>
      <w:spacing w:before="200"/>
      <w:outlineLvl w:val="2"/>
    </w:pPr>
    <w:rPr>
      <w:rFonts w:ascii="Cambria"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78E2"/>
    <w:rPr>
      <w:rFonts w:asciiTheme="majorHAnsi" w:eastAsiaTheme="majorEastAsia" w:hAnsiTheme="majorHAnsi" w:cstheme="majorBidi"/>
      <w:b/>
      <w:bCs/>
      <w:kern w:val="32"/>
      <w:sz w:val="32"/>
      <w:szCs w:val="32"/>
      <w:lang w:val="en-GB" w:eastAsia="en-GB"/>
    </w:rPr>
  </w:style>
  <w:style w:type="character" w:customStyle="1" w:styleId="Heading3Char">
    <w:name w:val="Heading 3 Char"/>
    <w:basedOn w:val="DefaultParagraphFont"/>
    <w:link w:val="Heading3"/>
    <w:uiPriority w:val="99"/>
    <w:rsid w:val="00230FF3"/>
    <w:rPr>
      <w:rFonts w:ascii="Cambria" w:hAnsi="Cambria" w:cs="Cambria"/>
      <w:b/>
      <w:bCs/>
      <w:color w:val="auto"/>
      <w:sz w:val="24"/>
      <w:szCs w:val="24"/>
      <w:lang w:val="en-US"/>
    </w:rPr>
  </w:style>
  <w:style w:type="paragraph" w:styleId="Header">
    <w:name w:val="header"/>
    <w:basedOn w:val="Normal"/>
    <w:link w:val="HeaderChar"/>
    <w:uiPriority w:val="99"/>
    <w:rsid w:val="00230FF3"/>
    <w:pPr>
      <w:tabs>
        <w:tab w:val="center" w:pos="4320"/>
        <w:tab w:val="right" w:pos="8640"/>
      </w:tabs>
    </w:pPr>
  </w:style>
  <w:style w:type="character" w:customStyle="1" w:styleId="HeaderChar">
    <w:name w:val="Header Char"/>
    <w:basedOn w:val="DefaultParagraphFont"/>
    <w:link w:val="Header"/>
    <w:uiPriority w:val="99"/>
    <w:semiHidden/>
    <w:rsid w:val="002678E2"/>
    <w:rPr>
      <w:rFonts w:ascii="Times" w:hAnsi="Times" w:cs="Times"/>
      <w:sz w:val="24"/>
      <w:szCs w:val="24"/>
      <w:lang w:val="en-GB" w:eastAsia="en-GB"/>
    </w:rPr>
  </w:style>
  <w:style w:type="paragraph" w:styleId="Footer">
    <w:name w:val="footer"/>
    <w:basedOn w:val="Normal"/>
    <w:link w:val="FooterChar"/>
    <w:uiPriority w:val="99"/>
    <w:rsid w:val="00230FF3"/>
    <w:pPr>
      <w:tabs>
        <w:tab w:val="center" w:pos="4320"/>
        <w:tab w:val="right" w:pos="8640"/>
      </w:tabs>
    </w:pPr>
  </w:style>
  <w:style w:type="character" w:customStyle="1" w:styleId="FooterChar">
    <w:name w:val="Footer Char"/>
    <w:basedOn w:val="DefaultParagraphFont"/>
    <w:link w:val="Footer"/>
    <w:uiPriority w:val="99"/>
    <w:semiHidden/>
    <w:rsid w:val="002678E2"/>
    <w:rPr>
      <w:rFonts w:ascii="Times" w:hAnsi="Times" w:cs="Times"/>
      <w:sz w:val="24"/>
      <w:szCs w:val="24"/>
      <w:lang w:val="en-GB" w:eastAsia="en-GB"/>
    </w:rPr>
  </w:style>
  <w:style w:type="paragraph" w:styleId="BodyText2">
    <w:name w:val="Body Text 2"/>
    <w:basedOn w:val="Normal"/>
    <w:link w:val="BodyText2Char"/>
    <w:uiPriority w:val="99"/>
    <w:rsid w:val="00230FF3"/>
    <w:pPr>
      <w:widowControl w:val="0"/>
      <w:autoSpaceDE w:val="0"/>
      <w:autoSpaceDN w:val="0"/>
      <w:adjustRightInd w:val="0"/>
    </w:pPr>
    <w:rPr>
      <w:rFonts w:ascii="PFDinDisplayPro-Light" w:hAnsi="PFDinDisplayPro-Light" w:cs="PFDinDisplayPro-Light"/>
      <w:sz w:val="20"/>
      <w:szCs w:val="20"/>
    </w:rPr>
  </w:style>
  <w:style w:type="character" w:customStyle="1" w:styleId="BodyText2Char">
    <w:name w:val="Body Text 2 Char"/>
    <w:basedOn w:val="DefaultParagraphFont"/>
    <w:link w:val="BodyText2"/>
    <w:uiPriority w:val="99"/>
    <w:semiHidden/>
    <w:rsid w:val="002678E2"/>
    <w:rPr>
      <w:rFonts w:ascii="Times" w:hAnsi="Times" w:cs="Times"/>
      <w:sz w:val="24"/>
      <w:szCs w:val="24"/>
      <w:lang w:val="en-GB" w:eastAsia="en-GB"/>
    </w:rPr>
  </w:style>
  <w:style w:type="paragraph" w:styleId="BlockText">
    <w:name w:val="Block Text"/>
    <w:basedOn w:val="Normal"/>
    <w:uiPriority w:val="99"/>
    <w:rsid w:val="00230FF3"/>
    <w:pPr>
      <w:ind w:left="2268" w:right="275"/>
    </w:pPr>
    <w:rPr>
      <w:rFonts w:ascii="Arial" w:hAnsi="Arial" w:cs="Arial"/>
      <w:noProof/>
      <w:sz w:val="20"/>
      <w:szCs w:val="20"/>
    </w:rPr>
  </w:style>
  <w:style w:type="paragraph" w:styleId="BodyText">
    <w:name w:val="Body Text"/>
    <w:basedOn w:val="Normal"/>
    <w:link w:val="BodyTextChar"/>
    <w:uiPriority w:val="99"/>
    <w:rsid w:val="00230FF3"/>
    <w:pPr>
      <w:ind w:right="43"/>
    </w:pPr>
    <w:rPr>
      <w:rFonts w:ascii="Arial" w:hAnsi="Arial" w:cs="Arial"/>
      <w:noProof/>
      <w:sz w:val="20"/>
      <w:szCs w:val="20"/>
    </w:rPr>
  </w:style>
  <w:style w:type="character" w:customStyle="1" w:styleId="BodyTextChar">
    <w:name w:val="Body Text Char"/>
    <w:basedOn w:val="DefaultParagraphFont"/>
    <w:link w:val="BodyText"/>
    <w:uiPriority w:val="99"/>
    <w:semiHidden/>
    <w:rsid w:val="002678E2"/>
    <w:rPr>
      <w:rFonts w:ascii="Times" w:hAnsi="Times" w:cs="Times"/>
      <w:sz w:val="24"/>
      <w:szCs w:val="24"/>
      <w:lang w:val="en-GB" w:eastAsia="en-GB"/>
    </w:rPr>
  </w:style>
  <w:style w:type="character" w:styleId="Hyperlink">
    <w:name w:val="Hyperlink"/>
    <w:basedOn w:val="DefaultParagraphFont"/>
    <w:uiPriority w:val="99"/>
    <w:rsid w:val="00230FF3"/>
    <w:rPr>
      <w:rFonts w:ascii="Times New Roman" w:hAnsi="Times New Roman" w:cs="Times New Roman"/>
      <w:color w:val="0000FF"/>
      <w:u w:val="single"/>
    </w:rPr>
  </w:style>
  <w:style w:type="character" w:styleId="Strong">
    <w:name w:val="Strong"/>
    <w:basedOn w:val="DefaultParagraphFont"/>
    <w:uiPriority w:val="99"/>
    <w:qFormat/>
    <w:rsid w:val="00230FF3"/>
    <w:rPr>
      <w:rFonts w:ascii="Times New Roman" w:hAnsi="Times New Roman" w:cs="Times New Roman"/>
      <w:b/>
      <w:bCs/>
    </w:rPr>
  </w:style>
  <w:style w:type="paragraph" w:styleId="BodyText3">
    <w:name w:val="Body Text 3"/>
    <w:basedOn w:val="Normal"/>
    <w:link w:val="BodyText3Char"/>
    <w:uiPriority w:val="99"/>
    <w:rsid w:val="00230FF3"/>
    <w:rPr>
      <w:rFonts w:ascii="PFDinDisplayPro-Light" w:hAnsi="PFDinDisplayPro-Light" w:cs="PFDinDisplayPro-Light"/>
      <w:sz w:val="18"/>
      <w:szCs w:val="18"/>
    </w:rPr>
  </w:style>
  <w:style w:type="character" w:customStyle="1" w:styleId="BodyText3Char">
    <w:name w:val="Body Text 3 Char"/>
    <w:basedOn w:val="DefaultParagraphFont"/>
    <w:link w:val="BodyText3"/>
    <w:uiPriority w:val="99"/>
    <w:semiHidden/>
    <w:rsid w:val="002678E2"/>
    <w:rPr>
      <w:rFonts w:ascii="Times" w:hAnsi="Times" w:cs="Times"/>
      <w:sz w:val="16"/>
      <w:szCs w:val="16"/>
      <w:lang w:val="en-GB" w:eastAsia="en-GB"/>
    </w:rPr>
  </w:style>
  <w:style w:type="paragraph" w:styleId="Title">
    <w:name w:val="Title"/>
    <w:basedOn w:val="Normal"/>
    <w:link w:val="TitleChar"/>
    <w:uiPriority w:val="99"/>
    <w:qFormat/>
    <w:rsid w:val="00230FF3"/>
    <w:pPr>
      <w:jc w:val="center"/>
    </w:pPr>
    <w:rPr>
      <w:rFonts w:ascii="Times New Roman" w:hAnsi="Times New Roman" w:cs="Times New Roman"/>
      <w:b/>
      <w:bCs/>
      <w:lang w:eastAsia="en-US"/>
    </w:rPr>
  </w:style>
  <w:style w:type="character" w:customStyle="1" w:styleId="TitleChar">
    <w:name w:val="Title Char"/>
    <w:basedOn w:val="DefaultParagraphFont"/>
    <w:link w:val="Title"/>
    <w:uiPriority w:val="99"/>
    <w:rsid w:val="00230FF3"/>
    <w:rPr>
      <w:rFonts w:ascii="Times New Roman" w:hAnsi="Times New Roman" w:cs="Times New Roman"/>
      <w:b/>
      <w:bCs/>
      <w:sz w:val="24"/>
      <w:szCs w:val="24"/>
      <w:lang w:eastAsia="en-US"/>
    </w:rPr>
  </w:style>
  <w:style w:type="paragraph" w:styleId="BalloonText">
    <w:name w:val="Balloon Text"/>
    <w:basedOn w:val="Normal"/>
    <w:link w:val="BalloonTextChar"/>
    <w:uiPriority w:val="99"/>
    <w:rsid w:val="00230FF3"/>
    <w:rPr>
      <w:rFonts w:ascii="Tahoma" w:hAnsi="Tahoma" w:cs="Tahoma"/>
      <w:sz w:val="16"/>
      <w:szCs w:val="16"/>
    </w:rPr>
  </w:style>
  <w:style w:type="character" w:customStyle="1" w:styleId="BalloonTextChar">
    <w:name w:val="Balloon Text Char"/>
    <w:basedOn w:val="DefaultParagraphFont"/>
    <w:link w:val="BalloonText"/>
    <w:uiPriority w:val="99"/>
    <w:rsid w:val="00230FF3"/>
    <w:rPr>
      <w:rFonts w:ascii="Tahoma" w:hAnsi="Tahoma" w:cs="Tahoma"/>
      <w:sz w:val="16"/>
      <w:szCs w:val="16"/>
      <w:lang w:val="en-US"/>
    </w:rPr>
  </w:style>
  <w:style w:type="paragraph" w:styleId="ListParagraph">
    <w:name w:val="List Paragraph"/>
    <w:basedOn w:val="Normal"/>
    <w:uiPriority w:val="99"/>
    <w:qFormat/>
    <w:rsid w:val="00230FF3"/>
    <w:pPr>
      <w:ind w:left="720"/>
    </w:pPr>
    <w:rPr>
      <w:rFonts w:ascii="Times New Roman" w:hAnsi="Times New Roman" w:cs="Times New Roman"/>
      <w:lang w:eastAsia="en-US"/>
    </w:rPr>
  </w:style>
  <w:style w:type="character" w:styleId="FollowedHyperlink">
    <w:name w:val="FollowedHyperlink"/>
    <w:basedOn w:val="DefaultParagraphFont"/>
    <w:uiPriority w:val="99"/>
    <w:rsid w:val="00230FF3"/>
    <w:rPr>
      <w:color w:val="800080"/>
      <w:u w:val="single"/>
    </w:rPr>
  </w:style>
</w:styles>
</file>

<file path=word/webSettings.xml><?xml version="1.0" encoding="utf-8"?>
<w:webSettings xmlns:r="http://schemas.openxmlformats.org/officeDocument/2006/relationships" xmlns:w="http://schemas.openxmlformats.org/wordprocessingml/2006/main">
  <w:divs>
    <w:div w:id="300155587">
      <w:bodyDiv w:val="1"/>
      <w:marLeft w:val="0"/>
      <w:marRight w:val="0"/>
      <w:marTop w:val="0"/>
      <w:marBottom w:val="0"/>
      <w:divBdr>
        <w:top w:val="none" w:sz="0" w:space="0" w:color="auto"/>
        <w:left w:val="none" w:sz="0" w:space="0" w:color="auto"/>
        <w:bottom w:val="none" w:sz="0" w:space="0" w:color="auto"/>
        <w:right w:val="none" w:sz="0" w:space="0" w:color="auto"/>
      </w:divBdr>
    </w:div>
    <w:div w:id="677930482">
      <w:bodyDiv w:val="1"/>
      <w:marLeft w:val="0"/>
      <w:marRight w:val="0"/>
      <w:marTop w:val="0"/>
      <w:marBottom w:val="0"/>
      <w:divBdr>
        <w:top w:val="none" w:sz="0" w:space="0" w:color="auto"/>
        <w:left w:val="none" w:sz="0" w:space="0" w:color="auto"/>
        <w:bottom w:val="none" w:sz="0" w:space="0" w:color="auto"/>
        <w:right w:val="none" w:sz="0" w:space="0" w:color="auto"/>
      </w:divBdr>
    </w:div>
    <w:div w:id="1307660577">
      <w:bodyDiv w:val="1"/>
      <w:marLeft w:val="0"/>
      <w:marRight w:val="0"/>
      <w:marTop w:val="0"/>
      <w:marBottom w:val="0"/>
      <w:divBdr>
        <w:top w:val="none" w:sz="0" w:space="0" w:color="auto"/>
        <w:left w:val="none" w:sz="0" w:space="0" w:color="auto"/>
        <w:bottom w:val="none" w:sz="0" w:space="0" w:color="auto"/>
        <w:right w:val="none" w:sz="0" w:space="0" w:color="auto"/>
      </w:divBdr>
    </w:div>
    <w:div w:id="1313869222">
      <w:bodyDiv w:val="1"/>
      <w:marLeft w:val="0"/>
      <w:marRight w:val="0"/>
      <w:marTop w:val="0"/>
      <w:marBottom w:val="0"/>
      <w:divBdr>
        <w:top w:val="none" w:sz="0" w:space="0" w:color="auto"/>
        <w:left w:val="none" w:sz="0" w:space="0" w:color="auto"/>
        <w:bottom w:val="none" w:sz="0" w:space="0" w:color="auto"/>
        <w:right w:val="none" w:sz="0" w:space="0" w:color="auto"/>
      </w:divBdr>
    </w:div>
    <w:div w:id="1477335624">
      <w:bodyDiv w:val="1"/>
      <w:marLeft w:val="0"/>
      <w:marRight w:val="0"/>
      <w:marTop w:val="0"/>
      <w:marBottom w:val="0"/>
      <w:divBdr>
        <w:top w:val="none" w:sz="0" w:space="0" w:color="auto"/>
        <w:left w:val="none" w:sz="0" w:space="0" w:color="auto"/>
        <w:bottom w:val="none" w:sz="0" w:space="0" w:color="auto"/>
        <w:right w:val="none" w:sz="0" w:space="0" w:color="auto"/>
      </w:divBdr>
    </w:div>
    <w:div w:id="1578633747">
      <w:bodyDiv w:val="1"/>
      <w:marLeft w:val="0"/>
      <w:marRight w:val="0"/>
      <w:marTop w:val="0"/>
      <w:marBottom w:val="0"/>
      <w:divBdr>
        <w:top w:val="none" w:sz="0" w:space="0" w:color="auto"/>
        <w:left w:val="none" w:sz="0" w:space="0" w:color="auto"/>
        <w:bottom w:val="none" w:sz="0" w:space="0" w:color="auto"/>
        <w:right w:val="none" w:sz="0" w:space="0" w:color="auto"/>
      </w:divBdr>
    </w:div>
    <w:div w:id="1727100070">
      <w:bodyDiv w:val="1"/>
      <w:marLeft w:val="0"/>
      <w:marRight w:val="0"/>
      <w:marTop w:val="0"/>
      <w:marBottom w:val="0"/>
      <w:divBdr>
        <w:top w:val="none" w:sz="0" w:space="0" w:color="auto"/>
        <w:left w:val="none" w:sz="0" w:space="0" w:color="auto"/>
        <w:bottom w:val="none" w:sz="0" w:space="0" w:color="auto"/>
        <w:right w:val="none" w:sz="0" w:space="0" w:color="auto"/>
      </w:divBdr>
    </w:div>
    <w:div w:id="1741053366">
      <w:bodyDiv w:val="1"/>
      <w:marLeft w:val="0"/>
      <w:marRight w:val="0"/>
      <w:marTop w:val="0"/>
      <w:marBottom w:val="0"/>
      <w:divBdr>
        <w:top w:val="none" w:sz="0" w:space="0" w:color="auto"/>
        <w:left w:val="none" w:sz="0" w:space="0" w:color="auto"/>
        <w:bottom w:val="none" w:sz="0" w:space="0" w:color="auto"/>
        <w:right w:val="none" w:sz="0" w:space="0" w:color="auto"/>
      </w:divBdr>
    </w:div>
    <w:div w:id="1767532507">
      <w:bodyDiv w:val="1"/>
      <w:marLeft w:val="0"/>
      <w:marRight w:val="0"/>
      <w:marTop w:val="0"/>
      <w:marBottom w:val="0"/>
      <w:divBdr>
        <w:top w:val="none" w:sz="0" w:space="0" w:color="auto"/>
        <w:left w:val="none" w:sz="0" w:space="0" w:color="auto"/>
        <w:bottom w:val="none" w:sz="0" w:space="0" w:color="auto"/>
        <w:right w:val="none" w:sz="0" w:space="0" w:color="auto"/>
      </w:divBdr>
    </w:div>
    <w:div w:id="197436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jvisscher@smmt.co.u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wen@smmt.co.u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mt.co.uk/publication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nrooke@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FHSERVER06\SMMTData\PPVL\TEAMS\ECONOMICS\MQC\Average%20MPG%202001-201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manualLayout>
          <c:layoutTarget val="inner"/>
          <c:xMode val="edge"/>
          <c:yMode val="edge"/>
          <c:x val="0.1108772965879264"/>
          <c:y val="5.1400554097404488E-2"/>
          <c:w val="0.85856714785651633"/>
          <c:h val="0.8326195683872849"/>
        </c:manualLayout>
      </c:layout>
      <c:lineChart>
        <c:grouping val="standard"/>
        <c:ser>
          <c:idx val="0"/>
          <c:order val="0"/>
          <c:tx>
            <c:strRef>
              <c:f>Sheet1!$A$3</c:f>
              <c:strCache>
                <c:ptCount val="1"/>
                <c:pt idx="0">
                  <c:v>Average new car MPG </c:v>
                </c:pt>
              </c:strCache>
            </c:strRef>
          </c:tx>
          <c:marker>
            <c:symbol val="none"/>
          </c:marker>
          <c:cat>
            <c:numRef>
              <c:f>Sheet1!$B$2:$L$2</c:f>
              <c:numCache>
                <c:formatCode>General</c:formatCode>
                <c:ptCount val="11"/>
                <c:pt idx="0">
                  <c:v>2001</c:v>
                </c:pt>
                <c:pt idx="1">
                  <c:v>2002</c:v>
                </c:pt>
                <c:pt idx="2">
                  <c:v>2003</c:v>
                </c:pt>
                <c:pt idx="3">
                  <c:v>2004</c:v>
                </c:pt>
                <c:pt idx="4">
                  <c:v>2005</c:v>
                </c:pt>
                <c:pt idx="5">
                  <c:v>2006</c:v>
                </c:pt>
                <c:pt idx="6">
                  <c:v>2007</c:v>
                </c:pt>
                <c:pt idx="7">
                  <c:v>2008</c:v>
                </c:pt>
                <c:pt idx="8">
                  <c:v>2009</c:v>
                </c:pt>
                <c:pt idx="9">
                  <c:v>2010</c:v>
                </c:pt>
                <c:pt idx="10">
                  <c:v>2011</c:v>
                </c:pt>
              </c:numCache>
            </c:numRef>
          </c:cat>
          <c:val>
            <c:numRef>
              <c:f>Sheet1!$B$3:$L$3</c:f>
              <c:numCache>
                <c:formatCode>General</c:formatCode>
                <c:ptCount val="11"/>
                <c:pt idx="0">
                  <c:v>40.6</c:v>
                </c:pt>
                <c:pt idx="1">
                  <c:v>41.8</c:v>
                </c:pt>
                <c:pt idx="2">
                  <c:v>42.2</c:v>
                </c:pt>
                <c:pt idx="3">
                  <c:v>42.6</c:v>
                </c:pt>
                <c:pt idx="4">
                  <c:v>43.2</c:v>
                </c:pt>
                <c:pt idx="5">
                  <c:v>43.7</c:v>
                </c:pt>
                <c:pt idx="6">
                  <c:v>44.3</c:v>
                </c:pt>
                <c:pt idx="7">
                  <c:v>46.1</c:v>
                </c:pt>
                <c:pt idx="8">
                  <c:v>48.6</c:v>
                </c:pt>
                <c:pt idx="9">
                  <c:v>50.4</c:v>
                </c:pt>
                <c:pt idx="10">
                  <c:v>52.5</c:v>
                </c:pt>
              </c:numCache>
            </c:numRef>
          </c:val>
        </c:ser>
        <c:marker val="1"/>
        <c:axId val="87778048"/>
        <c:axId val="87779584"/>
      </c:lineChart>
      <c:catAx>
        <c:axId val="87778048"/>
        <c:scaling>
          <c:orientation val="minMax"/>
        </c:scaling>
        <c:axPos val="b"/>
        <c:numFmt formatCode="General" sourceLinked="1"/>
        <c:tickLblPos val="nextTo"/>
        <c:crossAx val="87779584"/>
        <c:crosses val="autoZero"/>
        <c:auto val="1"/>
        <c:lblAlgn val="ctr"/>
        <c:lblOffset val="100"/>
      </c:catAx>
      <c:valAx>
        <c:axId val="87779584"/>
        <c:scaling>
          <c:orientation val="minMax"/>
          <c:max val="54"/>
          <c:min val="40"/>
        </c:scaling>
        <c:axPos val="l"/>
        <c:majorGridlines/>
        <c:title>
          <c:tx>
            <c:rich>
              <a:bodyPr rot="-5400000" vert="horz"/>
              <a:lstStyle/>
              <a:p>
                <a:pPr>
                  <a:defRPr/>
                </a:pPr>
                <a:r>
                  <a:rPr lang="en-US"/>
                  <a:t>mpg</a:t>
                </a:r>
              </a:p>
            </c:rich>
          </c:tx>
          <c:layout/>
        </c:title>
        <c:numFmt formatCode="General" sourceLinked="1"/>
        <c:tickLblPos val="nextTo"/>
        <c:crossAx val="87778048"/>
        <c:crosses val="autoZero"/>
        <c:crossBetween val="between"/>
      </c:valAx>
    </c:plotArea>
    <c:plotVisOnly val="1"/>
  </c:chart>
  <c:spPr>
    <a:ln>
      <a:noFill/>
    </a:ln>
  </c:spPr>
  <c:txPr>
    <a:bodyPr/>
    <a:lstStyle/>
    <a:p>
      <a:pPr>
        <a:defRPr>
          <a:latin typeface="Arial" pitchFamily="34" charset="0"/>
          <a:cs typeface="Arial" pitchFamily="34" charset="0"/>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06B2E-2940-4D42-A61A-40EC78DD7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834</Words>
  <Characters>4536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creator>owenk</dc:creator>
  <cp:lastModifiedBy>owenk</cp:lastModifiedBy>
  <cp:revision>2</cp:revision>
  <cp:lastPrinted>2011-12-05T17:32:00Z</cp:lastPrinted>
  <dcterms:created xsi:type="dcterms:W3CDTF">2011-12-06T08:39:00Z</dcterms:created>
  <dcterms:modified xsi:type="dcterms:W3CDTF">2011-12-06T08:39:00Z</dcterms:modified>
</cp:coreProperties>
</file>